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CAD9F" w14:textId="77777777" w:rsidR="00453A3A" w:rsidRPr="004E0E1B" w:rsidRDefault="00453A3A" w:rsidP="001A3F35">
      <w:pPr>
        <w:rPr>
          <w:rFonts w:ascii="Roboto" w:hAnsi="Roboto"/>
        </w:rPr>
      </w:pPr>
    </w:p>
    <w:p w14:paraId="0A5D8182" w14:textId="77777777" w:rsidR="00453A3A" w:rsidRPr="004E0E1B" w:rsidRDefault="00453A3A" w:rsidP="001A3F35">
      <w:pPr>
        <w:rPr>
          <w:rFonts w:ascii="Roboto" w:hAnsi="Roboto"/>
        </w:rPr>
      </w:pPr>
    </w:p>
    <w:p w14:paraId="403E1C69" w14:textId="77777777" w:rsidR="00453A3A" w:rsidRPr="004E0E1B" w:rsidRDefault="00453A3A" w:rsidP="001A3F35">
      <w:pPr>
        <w:rPr>
          <w:rFonts w:ascii="Roboto" w:hAnsi="Roboto"/>
        </w:rPr>
      </w:pPr>
    </w:p>
    <w:p w14:paraId="29D4CD39" w14:textId="3E120C43" w:rsidR="00453A3A" w:rsidRPr="004E0E1B" w:rsidRDefault="005560EC" w:rsidP="001A3F35">
      <w:pPr>
        <w:rPr>
          <w:rFonts w:ascii="Roboto" w:hAnsi="Roboto"/>
        </w:rPr>
      </w:pPr>
      <w:r w:rsidRPr="004E0E1B">
        <w:rPr>
          <w:rFonts w:ascii="Roboto" w:hAnsi="Roboto"/>
          <w:noProof/>
        </w:rPr>
        <w:drawing>
          <wp:anchor distT="0" distB="0" distL="114300" distR="114300" simplePos="0" relativeHeight="251653632" behindDoc="0" locked="0" layoutInCell="1" allowOverlap="1" wp14:anchorId="7CB991CE" wp14:editId="6D1AF410">
            <wp:simplePos x="0" y="0"/>
            <wp:positionH relativeFrom="margin">
              <wp:align>left</wp:align>
            </wp:positionH>
            <wp:positionV relativeFrom="paragraph">
              <wp:posOffset>15875</wp:posOffset>
            </wp:positionV>
            <wp:extent cx="2879725" cy="616585"/>
            <wp:effectExtent l="0" t="0" r="0" b="0"/>
            <wp:wrapSquare wrapText="bothSides"/>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9725" cy="616585"/>
                    </a:xfrm>
                    <a:prstGeom prst="rect">
                      <a:avLst/>
                    </a:prstGeom>
                    <a:noFill/>
                  </pic:spPr>
                </pic:pic>
              </a:graphicData>
            </a:graphic>
            <wp14:sizeRelH relativeFrom="page">
              <wp14:pctWidth>0</wp14:pctWidth>
            </wp14:sizeRelH>
            <wp14:sizeRelV relativeFrom="page">
              <wp14:pctHeight>0</wp14:pctHeight>
            </wp14:sizeRelV>
          </wp:anchor>
        </w:drawing>
      </w:r>
    </w:p>
    <w:p w14:paraId="63D1DED1" w14:textId="77777777" w:rsidR="00453A3A" w:rsidRPr="004E0E1B" w:rsidRDefault="00453A3A" w:rsidP="001A3F35">
      <w:pPr>
        <w:rPr>
          <w:rFonts w:ascii="Roboto" w:hAnsi="Roboto"/>
        </w:rPr>
      </w:pPr>
    </w:p>
    <w:p w14:paraId="055DF356" w14:textId="77777777" w:rsidR="00453A3A" w:rsidRPr="004E0E1B" w:rsidRDefault="00453A3A" w:rsidP="001A3F35">
      <w:pPr>
        <w:rPr>
          <w:rFonts w:ascii="Roboto" w:hAnsi="Roboto"/>
        </w:rPr>
      </w:pPr>
    </w:p>
    <w:p w14:paraId="004CE3F1" w14:textId="77777777" w:rsidR="00453A3A" w:rsidRPr="004E0E1B" w:rsidRDefault="00453A3A" w:rsidP="001A3F35">
      <w:pPr>
        <w:rPr>
          <w:rFonts w:ascii="Roboto" w:hAnsi="Roboto"/>
        </w:rPr>
      </w:pPr>
    </w:p>
    <w:p w14:paraId="5EC796A2" w14:textId="77777777" w:rsidR="007D15ED" w:rsidRPr="004E0E1B" w:rsidRDefault="007D15ED" w:rsidP="001A3F35">
      <w:pPr>
        <w:rPr>
          <w:rFonts w:ascii="Roboto" w:hAnsi="Roboto"/>
        </w:rPr>
      </w:pPr>
    </w:p>
    <w:p w14:paraId="16FBCF46" w14:textId="77777777" w:rsidR="00453A3A" w:rsidRPr="004E0E1B" w:rsidRDefault="00453A3A" w:rsidP="001A3F35">
      <w:pPr>
        <w:rPr>
          <w:rFonts w:ascii="Roboto" w:hAnsi="Roboto"/>
        </w:rPr>
      </w:pPr>
    </w:p>
    <w:p w14:paraId="554B5F69" w14:textId="77777777" w:rsidR="002571D3" w:rsidRPr="004E0E1B" w:rsidRDefault="002571D3" w:rsidP="001A3F35">
      <w:pPr>
        <w:rPr>
          <w:rFonts w:ascii="Roboto" w:hAnsi="Roboto"/>
        </w:rPr>
      </w:pPr>
    </w:p>
    <w:p w14:paraId="479814B6" w14:textId="77777777" w:rsidR="002571D3" w:rsidRPr="004E0E1B" w:rsidRDefault="002571D3" w:rsidP="001A3F35">
      <w:pPr>
        <w:rPr>
          <w:rFonts w:ascii="Roboto" w:hAnsi="Roboto"/>
        </w:rPr>
      </w:pPr>
    </w:p>
    <w:p w14:paraId="3B60BCF7" w14:textId="77777777" w:rsidR="00453A3A" w:rsidRPr="004E0E1B" w:rsidRDefault="00F9029E" w:rsidP="007D15ED">
      <w:pPr>
        <w:pStyle w:val="Heading1"/>
        <w:spacing w:line="240" w:lineRule="auto"/>
        <w:jc w:val="left"/>
        <w:rPr>
          <w:rFonts w:ascii="Roboto" w:hAnsi="Roboto"/>
          <w:sz w:val="80"/>
          <w:szCs w:val="80"/>
        </w:rPr>
      </w:pPr>
      <w:r w:rsidRPr="004E0E1B">
        <w:rPr>
          <w:rFonts w:ascii="Roboto" w:hAnsi="Roboto"/>
          <w:sz w:val="80"/>
          <w:szCs w:val="80"/>
        </w:rPr>
        <w:t>EMIR Intragroup Transaction Exemption Notification</w:t>
      </w:r>
    </w:p>
    <w:p w14:paraId="093E2467" w14:textId="49982EA9" w:rsidR="00381191" w:rsidRPr="004E0E1B" w:rsidRDefault="005560EC" w:rsidP="001A3F35">
      <w:pPr>
        <w:rPr>
          <w:rFonts w:ascii="Roboto" w:hAnsi="Roboto"/>
          <w:sz w:val="28"/>
          <w:szCs w:val="28"/>
        </w:rPr>
      </w:pPr>
      <w:r w:rsidRPr="004E0E1B">
        <w:rPr>
          <w:rFonts w:ascii="Roboto" w:hAnsi="Roboto"/>
          <w:noProof/>
        </w:rPr>
        <w:drawing>
          <wp:anchor distT="0" distB="0" distL="114300" distR="114300" simplePos="0" relativeHeight="251652608" behindDoc="0" locked="0" layoutInCell="1" allowOverlap="1" wp14:anchorId="761B7ACD" wp14:editId="67C3476E">
            <wp:simplePos x="0" y="0"/>
            <wp:positionH relativeFrom="margin">
              <wp:posOffset>0</wp:posOffset>
            </wp:positionH>
            <wp:positionV relativeFrom="paragraph">
              <wp:posOffset>55245</wp:posOffset>
            </wp:positionV>
            <wp:extent cx="1157605" cy="272415"/>
            <wp:effectExtent l="0" t="0" r="0" b="0"/>
            <wp:wrapThrough wrapText="bothSides">
              <wp:wrapPolygon edited="0">
                <wp:start x="0" y="0"/>
                <wp:lineTo x="0" y="19636"/>
                <wp:lineTo x="21327" y="19636"/>
                <wp:lineTo x="21327" y="0"/>
                <wp:lineTo x="0" y="0"/>
              </wp:wrapPolygon>
            </wp:wrapThrough>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11800" t="19539"/>
                    <a:stretch>
                      <a:fillRect/>
                    </a:stretch>
                  </pic:blipFill>
                  <pic:spPr bwMode="auto">
                    <a:xfrm>
                      <a:off x="0" y="0"/>
                      <a:ext cx="1157605" cy="272415"/>
                    </a:xfrm>
                    <a:prstGeom prst="rect">
                      <a:avLst/>
                    </a:prstGeom>
                    <a:noFill/>
                  </pic:spPr>
                </pic:pic>
              </a:graphicData>
            </a:graphic>
            <wp14:sizeRelH relativeFrom="page">
              <wp14:pctWidth>0</wp14:pctWidth>
            </wp14:sizeRelH>
            <wp14:sizeRelV relativeFrom="page">
              <wp14:pctHeight>0</wp14:pctHeight>
            </wp14:sizeRelV>
          </wp:anchor>
        </w:drawing>
      </w:r>
    </w:p>
    <w:p w14:paraId="5BED8378" w14:textId="21F6D9A7" w:rsidR="007D15ED" w:rsidRDefault="00893FCB" w:rsidP="001A3F35">
      <w:pPr>
        <w:rPr>
          <w:rFonts w:ascii="Roboto" w:hAnsi="Roboto"/>
        </w:rPr>
      </w:pPr>
      <w:r w:rsidRPr="007D15ED">
        <w:rPr>
          <w:rFonts w:ascii="Roboto" w:hAnsi="Roboto"/>
          <w:b/>
          <w:bCs/>
        </w:rPr>
        <w:t xml:space="preserve">Version </w:t>
      </w:r>
      <w:r w:rsidR="007D15ED" w:rsidRPr="007D15ED">
        <w:rPr>
          <w:rFonts w:ascii="Roboto" w:hAnsi="Roboto"/>
          <w:b/>
          <w:bCs/>
        </w:rPr>
        <w:t>D</w:t>
      </w:r>
      <w:r w:rsidRPr="007D15ED">
        <w:rPr>
          <w:rFonts w:ascii="Roboto" w:hAnsi="Roboto"/>
          <w:b/>
          <w:bCs/>
        </w:rPr>
        <w:t>ate</w:t>
      </w:r>
      <w:r w:rsidRPr="004E0E1B">
        <w:rPr>
          <w:rFonts w:ascii="Roboto" w:hAnsi="Roboto"/>
        </w:rPr>
        <w:t>:</w:t>
      </w:r>
      <w:r w:rsidR="007D15ED">
        <w:rPr>
          <w:rFonts w:ascii="Roboto" w:hAnsi="Roboto"/>
        </w:rPr>
        <w:t xml:space="preserve"> 25 June 2026</w:t>
      </w:r>
    </w:p>
    <w:p w14:paraId="4D66ACE4" w14:textId="77777777" w:rsidR="007D15ED" w:rsidRDefault="007D15ED" w:rsidP="001A3F35">
      <w:pPr>
        <w:rPr>
          <w:rFonts w:ascii="Roboto" w:hAnsi="Roboto"/>
        </w:rPr>
      </w:pPr>
    </w:p>
    <w:p w14:paraId="300740A3" w14:textId="41D96E3B" w:rsidR="00381191" w:rsidRPr="004E0E1B" w:rsidRDefault="00893FCB" w:rsidP="001A3F35">
      <w:pPr>
        <w:rPr>
          <w:rFonts w:ascii="Roboto" w:hAnsi="Roboto"/>
        </w:rPr>
      </w:pPr>
      <w:r w:rsidRPr="004E0E1B">
        <w:rPr>
          <w:rFonts w:ascii="Roboto" w:hAnsi="Roboto"/>
        </w:rPr>
        <w:t>This template reflects Regulation (EU) No 648/2012 (EMIR), as amended and in force, including amendments introduced by Regulation (EU) 2024/2987.</w:t>
      </w:r>
    </w:p>
    <w:p w14:paraId="2147700E" w14:textId="77777777" w:rsidR="00453A3A" w:rsidRPr="004E0E1B" w:rsidRDefault="00453A3A" w:rsidP="001A3F35">
      <w:pPr>
        <w:rPr>
          <w:rFonts w:ascii="Roboto" w:hAnsi="Roboto"/>
        </w:rPr>
      </w:pPr>
    </w:p>
    <w:p w14:paraId="4CA27D76" w14:textId="77777777" w:rsidR="00F9029E" w:rsidRPr="004E0E1B" w:rsidRDefault="00F9029E" w:rsidP="001A3F35">
      <w:pPr>
        <w:rPr>
          <w:rFonts w:ascii="Roboto" w:hAnsi="Roboto"/>
        </w:rPr>
      </w:pPr>
      <w:r w:rsidRPr="004E0E1B">
        <w:rPr>
          <w:rFonts w:ascii="Roboto" w:hAnsi="Roboto"/>
        </w:rPr>
        <w:br w:type="page"/>
      </w:r>
    </w:p>
    <w:p w14:paraId="10B3F070" w14:textId="79894A98" w:rsidR="006D3409" w:rsidRPr="004E0E1B" w:rsidRDefault="005560EC" w:rsidP="001A3F35">
      <w:pPr>
        <w:pStyle w:val="Heading1"/>
        <w:rPr>
          <w:rFonts w:ascii="Roboto" w:hAnsi="Roboto"/>
        </w:rPr>
      </w:pPr>
      <w:r w:rsidRPr="004E0E1B">
        <w:rPr>
          <w:rFonts w:ascii="Roboto" w:hAnsi="Roboto"/>
        </w:rPr>
        <w:lastRenderedPageBreak/>
        <w:drawing>
          <wp:anchor distT="0" distB="0" distL="114300" distR="114300" simplePos="0" relativeHeight="251654656" behindDoc="0" locked="0" layoutInCell="1" allowOverlap="1" wp14:anchorId="17430B21" wp14:editId="38F3BC3D">
            <wp:simplePos x="0" y="0"/>
            <wp:positionH relativeFrom="margin">
              <wp:posOffset>0</wp:posOffset>
            </wp:positionH>
            <wp:positionV relativeFrom="paragraph">
              <wp:posOffset>481330</wp:posOffset>
            </wp:positionV>
            <wp:extent cx="713740" cy="168275"/>
            <wp:effectExtent l="0" t="0" r="0" b="0"/>
            <wp:wrapThrough wrapText="bothSides">
              <wp:wrapPolygon edited="0">
                <wp:start x="0" y="0"/>
                <wp:lineTo x="0" y="19562"/>
                <wp:lineTo x="20754" y="19562"/>
                <wp:lineTo x="20754" y="0"/>
                <wp:lineTo x="0" y="0"/>
              </wp:wrapPolygon>
            </wp:wrapThrough>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11800" t="19539"/>
                    <a:stretch>
                      <a:fillRect/>
                    </a:stretch>
                  </pic:blipFill>
                  <pic:spPr bwMode="auto">
                    <a:xfrm>
                      <a:off x="0" y="0"/>
                      <a:ext cx="713740" cy="168275"/>
                    </a:xfrm>
                    <a:prstGeom prst="rect">
                      <a:avLst/>
                    </a:prstGeom>
                    <a:noFill/>
                  </pic:spPr>
                </pic:pic>
              </a:graphicData>
            </a:graphic>
            <wp14:sizeRelH relativeFrom="page">
              <wp14:pctWidth>0</wp14:pctWidth>
            </wp14:sizeRelH>
            <wp14:sizeRelV relativeFrom="page">
              <wp14:pctHeight>0</wp14:pctHeight>
            </wp14:sizeRelV>
          </wp:anchor>
        </w:drawing>
      </w:r>
      <w:r w:rsidR="006D3409" w:rsidRPr="004E0E1B">
        <w:rPr>
          <w:rFonts w:ascii="Roboto" w:hAnsi="Roboto"/>
        </w:rPr>
        <w:t>Introduction</w:t>
      </w:r>
    </w:p>
    <w:p w14:paraId="621BA09F" w14:textId="77777777" w:rsidR="006D3409" w:rsidRPr="004E0E1B" w:rsidRDefault="006D3409" w:rsidP="001A3F35">
      <w:pPr>
        <w:rPr>
          <w:rFonts w:ascii="Roboto" w:hAnsi="Roboto"/>
        </w:rPr>
      </w:pPr>
    </w:p>
    <w:p w14:paraId="3D8B5339" w14:textId="77777777" w:rsidR="00C45877" w:rsidRPr="00C45877" w:rsidRDefault="00C45877" w:rsidP="004E0E1B">
      <w:pPr>
        <w:spacing w:after="240"/>
        <w:rPr>
          <w:rFonts w:ascii="Roboto" w:hAnsi="Roboto"/>
        </w:rPr>
      </w:pPr>
      <w:r w:rsidRPr="00C45877">
        <w:rPr>
          <w:rFonts w:ascii="Roboto" w:hAnsi="Roboto"/>
        </w:rPr>
        <w:t>This notification / application template is to be used for intragroup exemptions under Regulation (EU) No 648/2012 on OTC derivatives, central counterparties and trade repositories (“EMIR”), as amended and in force.</w:t>
      </w:r>
    </w:p>
    <w:p w14:paraId="25277B23" w14:textId="1F9F15C1" w:rsidR="00F40BEE" w:rsidRPr="00F40BEE" w:rsidRDefault="00F40BEE" w:rsidP="004E0E1B">
      <w:pPr>
        <w:spacing w:after="240"/>
        <w:rPr>
          <w:rFonts w:ascii="Roboto" w:hAnsi="Roboto"/>
        </w:rPr>
      </w:pPr>
      <w:r w:rsidRPr="00F40BEE">
        <w:rPr>
          <w:rFonts w:ascii="Roboto" w:hAnsi="Roboto"/>
        </w:rPr>
        <w:t>An intragroup transaction is a transaction between two undertakings belonging to the same group that meet the applicable conditions under Article 3 of EMIR, as amended and in force.</w:t>
      </w:r>
    </w:p>
    <w:p w14:paraId="58EDECD8" w14:textId="123CCD58" w:rsidR="00453A3A" w:rsidRPr="00965E1D" w:rsidRDefault="00F40BEE" w:rsidP="004E0E1B">
      <w:pPr>
        <w:spacing w:after="240"/>
        <w:rPr>
          <w:rFonts w:ascii="Roboto" w:hAnsi="Roboto"/>
        </w:rPr>
      </w:pPr>
      <w:r w:rsidRPr="00F40BEE">
        <w:rPr>
          <w:rFonts w:ascii="Roboto" w:hAnsi="Roboto"/>
        </w:rPr>
        <w:t xml:space="preserve">For the purposes of any exemption, applicants must demonstrate, to the satisfaction of the Authority, that the relevant counterparties are included in the same </w:t>
      </w:r>
      <w:r w:rsidRPr="004E0E1B">
        <w:rPr>
          <w:rFonts w:ascii="Roboto" w:hAnsi="Roboto"/>
          <w:b/>
          <w:bCs/>
          <w:i/>
          <w:iCs/>
        </w:rPr>
        <w:t>consolidation on a full basis</w:t>
      </w:r>
      <w:r w:rsidRPr="00F40BEE">
        <w:rPr>
          <w:rFonts w:ascii="Roboto" w:hAnsi="Roboto"/>
        </w:rPr>
        <w:t xml:space="preserve"> and are subject to appropriate centralised risk evaluation, measurement and control procedures.</w:t>
      </w:r>
    </w:p>
    <w:p w14:paraId="41EE2932" w14:textId="47AC6185" w:rsidR="006D3409" w:rsidRDefault="005560EC" w:rsidP="00AE1EF1">
      <w:pPr>
        <w:rPr>
          <w:rFonts w:ascii="Roboto" w:hAnsi="Roboto"/>
        </w:rPr>
      </w:pPr>
      <w:r w:rsidRPr="004E0E1B">
        <w:rPr>
          <w:rFonts w:ascii="Roboto" w:hAnsi="Roboto"/>
          <w:noProof/>
        </w:rPr>
        <mc:AlternateContent>
          <mc:Choice Requires="wps">
            <w:drawing>
              <wp:inline distT="0" distB="0" distL="0" distR="0" wp14:anchorId="061602ED" wp14:editId="16DF884A">
                <wp:extent cx="5753100" cy="4905955"/>
                <wp:effectExtent l="0" t="0" r="2540" b="2540"/>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4905955"/>
                        </a:xfrm>
                        <a:prstGeom prst="rect">
                          <a:avLst/>
                        </a:prstGeom>
                        <a:solidFill>
                          <a:srgbClr val="EAEAEA"/>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489E40" w14:textId="77777777" w:rsidR="006D3409" w:rsidRPr="004E0E1B" w:rsidRDefault="006D3409" w:rsidP="004E0E1B">
                            <w:pPr>
                              <w:pStyle w:val="Heading2"/>
                              <w:spacing w:before="240" w:after="240"/>
                              <w:rPr>
                                <w:rFonts w:ascii="Roboto" w:hAnsi="Roboto"/>
                              </w:rPr>
                            </w:pPr>
                            <w:r w:rsidRPr="004E0E1B">
                              <w:rPr>
                                <w:rFonts w:ascii="Roboto" w:hAnsi="Roboto"/>
                              </w:rPr>
                              <w:t>Consolidation on a full basis</w:t>
                            </w:r>
                          </w:p>
                          <w:p w14:paraId="31379B18" w14:textId="77777777" w:rsidR="006D3409" w:rsidRPr="004E0E1B" w:rsidRDefault="006D3409" w:rsidP="004E0E1B">
                            <w:pPr>
                              <w:spacing w:after="240"/>
                              <w:rPr>
                                <w:rFonts w:ascii="Roboto" w:hAnsi="Roboto"/>
                                <w:color w:val="0B1A34"/>
                                <w:lang w:eastAsia="en-GB"/>
                              </w:rPr>
                            </w:pPr>
                            <w:r w:rsidRPr="004E0E1B">
                              <w:rPr>
                                <w:rFonts w:ascii="Roboto" w:hAnsi="Roboto"/>
                                <w:color w:val="0B1A34"/>
                                <w:lang w:eastAsia="en-GB"/>
                              </w:rPr>
                              <w:t>* Counterparties shall be considered to be included in the same consolidation when they are both either:</w:t>
                            </w:r>
                          </w:p>
                          <w:p w14:paraId="34176B0D" w14:textId="43358727" w:rsidR="006D3409" w:rsidRPr="004E0E1B" w:rsidRDefault="006D3409" w:rsidP="004E0E1B">
                            <w:pPr>
                              <w:spacing w:after="240"/>
                              <w:rPr>
                                <w:rFonts w:ascii="Roboto" w:hAnsi="Roboto"/>
                                <w:color w:val="0B1A34"/>
                                <w:lang w:eastAsia="en-GB"/>
                              </w:rPr>
                            </w:pPr>
                            <w:r w:rsidRPr="004E0E1B">
                              <w:rPr>
                                <w:rFonts w:ascii="Roboto" w:hAnsi="Roboto"/>
                                <w:color w:val="0B1A34"/>
                                <w:lang w:eastAsia="en-GB"/>
                              </w:rPr>
                              <w:t xml:space="preserve">(a) included in a consolidation in accordance with Directive </w:t>
                            </w:r>
                            <w:r w:rsidR="003104C2">
                              <w:rPr>
                                <w:rFonts w:ascii="Roboto" w:hAnsi="Roboto"/>
                                <w:color w:val="0B1A34"/>
                                <w:lang w:eastAsia="en-GB"/>
                              </w:rPr>
                              <w:t>2013/34/EU as amended</w:t>
                            </w:r>
                            <w:r w:rsidRPr="004E0E1B">
                              <w:rPr>
                                <w:rFonts w:ascii="Roboto" w:hAnsi="Roboto"/>
                                <w:color w:val="0B1A34"/>
                                <w:lang w:eastAsia="en-GB"/>
                              </w:rPr>
                              <w:t xml:space="preserve"> or International Financial Reporting Standards (IFRS) adopted pursuant to Regulation (EC) No 1606/2002 </w:t>
                            </w:r>
                            <w:r w:rsidR="003104C2">
                              <w:rPr>
                                <w:rFonts w:ascii="Roboto" w:hAnsi="Roboto"/>
                                <w:color w:val="0B1A34"/>
                                <w:lang w:eastAsia="en-GB"/>
                              </w:rPr>
                              <w:t xml:space="preserve">as amended </w:t>
                            </w:r>
                            <w:r w:rsidRPr="004E0E1B">
                              <w:rPr>
                                <w:rFonts w:ascii="Roboto" w:hAnsi="Roboto"/>
                                <w:color w:val="0B1A34"/>
                                <w:lang w:eastAsia="en-GB"/>
                              </w:rPr>
                              <w:t xml:space="preserve">or, in relation to a group the parent undertaking of which has its head office in a third country, in accordance with generally accepted accounting principles of a third country determined to be equivalent to IFRS </w:t>
                            </w:r>
                            <w:r w:rsidR="003104C2">
                              <w:rPr>
                                <w:rFonts w:ascii="Roboto" w:hAnsi="Roboto"/>
                                <w:color w:val="0B1A34"/>
                                <w:lang w:eastAsia="en-GB"/>
                              </w:rPr>
                              <w:t xml:space="preserve">by </w:t>
                            </w:r>
                            <w:r w:rsidR="0093328A">
                              <w:rPr>
                                <w:rFonts w:ascii="Roboto" w:hAnsi="Roboto"/>
                                <w:color w:val="0B1A34"/>
                                <w:lang w:eastAsia="en-GB"/>
                              </w:rPr>
                              <w:t>an</w:t>
                            </w:r>
                            <w:r w:rsidR="003104C2">
                              <w:rPr>
                                <w:rFonts w:ascii="Roboto" w:hAnsi="Roboto"/>
                                <w:color w:val="0B1A34"/>
                                <w:lang w:eastAsia="en-GB"/>
                              </w:rPr>
                              <w:t xml:space="preserve"> EU equivalent decision</w:t>
                            </w:r>
                            <w:r w:rsidRPr="004E0E1B">
                              <w:rPr>
                                <w:rFonts w:ascii="Roboto" w:hAnsi="Roboto"/>
                                <w:color w:val="0B1A34"/>
                                <w:lang w:eastAsia="en-GB"/>
                              </w:rPr>
                              <w:t>; or</w:t>
                            </w:r>
                          </w:p>
                          <w:p w14:paraId="67371643" w14:textId="6D828502" w:rsidR="00AE1EF1" w:rsidRDefault="006D3409" w:rsidP="004E0E1B">
                            <w:pPr>
                              <w:spacing w:after="240"/>
                              <w:rPr>
                                <w:rFonts w:ascii="Roboto" w:hAnsi="Roboto"/>
                                <w:color w:val="0B1A34"/>
                                <w:lang w:eastAsia="en-GB"/>
                              </w:rPr>
                            </w:pPr>
                            <w:r w:rsidRPr="004E0E1B">
                              <w:rPr>
                                <w:rFonts w:ascii="Roboto" w:hAnsi="Roboto"/>
                                <w:color w:val="0B1A34"/>
                                <w:lang w:eastAsia="en-GB"/>
                              </w:rPr>
                              <w:t xml:space="preserve">(b) covered by the same consolidated supervision in accordance with Directive </w:t>
                            </w:r>
                            <w:r w:rsidR="0093328A">
                              <w:rPr>
                                <w:rFonts w:ascii="Roboto" w:hAnsi="Roboto"/>
                                <w:color w:val="0B1A34"/>
                                <w:lang w:eastAsia="en-GB"/>
                              </w:rPr>
                              <w:t>2013/36/EU (CRD IV)</w:t>
                            </w:r>
                            <w:r w:rsidRPr="004E0E1B">
                              <w:rPr>
                                <w:rFonts w:ascii="Roboto" w:hAnsi="Roboto"/>
                                <w:color w:val="0B1A34"/>
                                <w:lang w:eastAsia="en-GB"/>
                              </w:rPr>
                              <w:t xml:space="preserve"> </w:t>
                            </w:r>
                            <w:r w:rsidR="0093328A">
                              <w:rPr>
                                <w:rFonts w:ascii="Roboto" w:hAnsi="Roboto"/>
                                <w:color w:val="0B1A34"/>
                                <w:lang w:eastAsia="en-GB"/>
                              </w:rPr>
                              <w:t>and</w:t>
                            </w:r>
                            <w:r w:rsidR="0093328A" w:rsidRPr="004E0E1B">
                              <w:rPr>
                                <w:rFonts w:ascii="Roboto" w:hAnsi="Roboto"/>
                                <w:color w:val="0B1A34"/>
                                <w:lang w:eastAsia="en-GB"/>
                              </w:rPr>
                              <w:t xml:space="preserve"> </w:t>
                            </w:r>
                            <w:r w:rsidR="0093328A">
                              <w:rPr>
                                <w:rFonts w:ascii="Roboto" w:hAnsi="Roboto"/>
                                <w:color w:val="0B1A34"/>
                                <w:lang w:eastAsia="en-GB"/>
                              </w:rPr>
                              <w:t>Regulation (EU) 575/2013 (CRR)</w:t>
                            </w:r>
                            <w:r w:rsidRPr="004E0E1B">
                              <w:rPr>
                                <w:rFonts w:ascii="Roboto" w:hAnsi="Roboto"/>
                                <w:color w:val="0B1A34"/>
                                <w:lang w:eastAsia="en-GB"/>
                              </w:rPr>
                              <w:t xml:space="preserve"> or, in relation to a group the parent undertaking of which has its head office in a third country, the same consolidated supervision by a third-country competent authority verified as equivalent to that governed by the principles laid down in Article </w:t>
                            </w:r>
                            <w:r w:rsidR="00817B4B">
                              <w:rPr>
                                <w:rFonts w:ascii="Roboto" w:hAnsi="Roboto"/>
                                <w:color w:val="0B1A34"/>
                                <w:lang w:eastAsia="en-GB"/>
                              </w:rPr>
                              <w:t>127 of CRD</w:t>
                            </w:r>
                            <w:r w:rsidR="007D15ED">
                              <w:rPr>
                                <w:rFonts w:ascii="Roboto" w:hAnsi="Roboto"/>
                                <w:color w:val="0B1A34"/>
                                <w:lang w:eastAsia="en-GB"/>
                              </w:rPr>
                              <w:t xml:space="preserve"> IV.</w:t>
                            </w:r>
                          </w:p>
                          <w:p w14:paraId="27DF627C" w14:textId="77777777" w:rsidR="006D3409" w:rsidRPr="00AE1EF1" w:rsidRDefault="006D3409" w:rsidP="00AE1EF1"/>
                        </w:txbxContent>
                      </wps:txbx>
                      <wps:bodyPr rot="0" vert="horz" wrap="none" lIns="91440" tIns="45720" rIns="91440" bIns="45720" anchor="ctr" anchorCtr="0">
                        <a:spAutoFit/>
                      </wps:bodyPr>
                    </wps:wsp>
                  </a:graphicData>
                </a:graphic>
              </wp:inline>
            </w:drawing>
          </mc:Choice>
          <mc:Fallback>
            <w:pict>
              <v:rect w14:anchorId="061602ED" id="Rectangle 2" o:spid="_x0000_s1026" style="width:453pt;height:386.3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" fillcolor="#eaeaea" stroked="f" strokeweight="1pt">
                <v:textbox style="mso-fit-shape-to-text:t">
                  <w:txbxContent>
                    <w:p w14:paraId="0D489E40" w14:textId="77777777" w:rsidR="006D3409" w:rsidRPr="004E0E1B" w:rsidRDefault="006D3409" w:rsidP="004E0E1B">
                      <w:pPr>
                        <w:pStyle w:val="Heading2"/>
                        <w:spacing w:before="240" w:after="240"/>
                        <w:rPr>
                          <w:rFonts w:ascii="Roboto" w:hAnsi="Roboto"/>
                        </w:rPr>
                      </w:pPr>
                      <w:r w:rsidRPr="004E0E1B">
                        <w:rPr>
                          <w:rFonts w:ascii="Roboto" w:hAnsi="Roboto"/>
                        </w:rPr>
                        <w:t>Consolidation on a full basis</w:t>
                      </w:r>
                    </w:p>
                    <w:p w14:paraId="31379B18" w14:textId="77777777" w:rsidR="006D3409" w:rsidRPr="004E0E1B" w:rsidRDefault="006D3409" w:rsidP="004E0E1B">
                      <w:pPr>
                        <w:spacing w:after="240"/>
                        <w:rPr>
                          <w:rFonts w:ascii="Roboto" w:hAnsi="Roboto"/>
                          <w:color w:val="0B1A34"/>
                          <w:lang w:eastAsia="en-GB"/>
                        </w:rPr>
                      </w:pPr>
                      <w:r w:rsidRPr="004E0E1B">
                        <w:rPr>
                          <w:rFonts w:ascii="Roboto" w:hAnsi="Roboto"/>
                          <w:color w:val="0B1A34"/>
                          <w:lang w:eastAsia="en-GB"/>
                        </w:rPr>
                        <w:t>* Counterparties shall be considered to be included in the same consolidation when they are both either:</w:t>
                      </w:r>
                    </w:p>
                    <w:p w14:paraId="34176B0D" w14:textId="43358727" w:rsidR="006D3409" w:rsidRPr="004E0E1B" w:rsidRDefault="006D3409" w:rsidP="004E0E1B">
                      <w:pPr>
                        <w:spacing w:after="240"/>
                        <w:rPr>
                          <w:rFonts w:ascii="Roboto" w:hAnsi="Roboto"/>
                          <w:color w:val="0B1A34"/>
                          <w:lang w:eastAsia="en-GB"/>
                        </w:rPr>
                      </w:pPr>
                      <w:r w:rsidRPr="004E0E1B">
                        <w:rPr>
                          <w:rFonts w:ascii="Roboto" w:hAnsi="Roboto"/>
                          <w:color w:val="0B1A34"/>
                          <w:lang w:eastAsia="en-GB"/>
                        </w:rPr>
                        <w:t xml:space="preserve">(a) included in a consolidation in accordance with Directive </w:t>
                      </w:r>
                      <w:r w:rsidR="003104C2">
                        <w:rPr>
                          <w:rFonts w:ascii="Roboto" w:hAnsi="Roboto"/>
                          <w:color w:val="0B1A34"/>
                          <w:lang w:eastAsia="en-GB"/>
                        </w:rPr>
                        <w:t>2013/34/EU as amended</w:t>
                      </w:r>
                      <w:r w:rsidRPr="004E0E1B">
                        <w:rPr>
                          <w:rFonts w:ascii="Roboto" w:hAnsi="Roboto"/>
                          <w:color w:val="0B1A34"/>
                          <w:lang w:eastAsia="en-GB"/>
                        </w:rPr>
                        <w:t xml:space="preserve"> or International Financial Reporting Standards (IFRS) adopted pursuant to Regulation (EC) No 1606/2002 </w:t>
                      </w:r>
                      <w:r w:rsidR="003104C2">
                        <w:rPr>
                          <w:rFonts w:ascii="Roboto" w:hAnsi="Roboto"/>
                          <w:color w:val="0B1A34"/>
                          <w:lang w:eastAsia="en-GB"/>
                        </w:rPr>
                        <w:t xml:space="preserve">as amended </w:t>
                      </w:r>
                      <w:r w:rsidRPr="004E0E1B">
                        <w:rPr>
                          <w:rFonts w:ascii="Roboto" w:hAnsi="Roboto"/>
                          <w:color w:val="0B1A34"/>
                          <w:lang w:eastAsia="en-GB"/>
                        </w:rPr>
                        <w:t xml:space="preserve">or, in relation to a group the parent undertaking of which has its head office in a third country, in accordance with generally accepted accounting principles of a third country determined to be equivalent to IFRS </w:t>
                      </w:r>
                      <w:r w:rsidR="003104C2">
                        <w:rPr>
                          <w:rFonts w:ascii="Roboto" w:hAnsi="Roboto"/>
                          <w:color w:val="0B1A34"/>
                          <w:lang w:eastAsia="en-GB"/>
                        </w:rPr>
                        <w:t xml:space="preserve">by </w:t>
                      </w:r>
                      <w:r w:rsidR="0093328A">
                        <w:rPr>
                          <w:rFonts w:ascii="Roboto" w:hAnsi="Roboto"/>
                          <w:color w:val="0B1A34"/>
                          <w:lang w:eastAsia="en-GB"/>
                        </w:rPr>
                        <w:t>an</w:t>
                      </w:r>
                      <w:r w:rsidR="003104C2">
                        <w:rPr>
                          <w:rFonts w:ascii="Roboto" w:hAnsi="Roboto"/>
                          <w:color w:val="0B1A34"/>
                          <w:lang w:eastAsia="en-GB"/>
                        </w:rPr>
                        <w:t xml:space="preserve"> EU equivalent decision</w:t>
                      </w:r>
                      <w:r w:rsidRPr="004E0E1B">
                        <w:rPr>
                          <w:rFonts w:ascii="Roboto" w:hAnsi="Roboto"/>
                          <w:color w:val="0B1A34"/>
                          <w:lang w:eastAsia="en-GB"/>
                        </w:rPr>
                        <w:t>; or</w:t>
                      </w:r>
                    </w:p>
                    <w:p w14:paraId="67371643" w14:textId="6D828502" w:rsidR="00AE1EF1" w:rsidRDefault="006D3409" w:rsidP="004E0E1B">
                      <w:pPr>
                        <w:spacing w:after="240"/>
                        <w:rPr>
                          <w:rFonts w:ascii="Roboto" w:hAnsi="Roboto"/>
                          <w:color w:val="0B1A34"/>
                          <w:lang w:eastAsia="en-GB"/>
                        </w:rPr>
                      </w:pPr>
                      <w:r w:rsidRPr="004E0E1B">
                        <w:rPr>
                          <w:rFonts w:ascii="Roboto" w:hAnsi="Roboto"/>
                          <w:color w:val="0B1A34"/>
                          <w:lang w:eastAsia="en-GB"/>
                        </w:rPr>
                        <w:t xml:space="preserve">(b) covered by the same consolidated supervision in accordance with Directive </w:t>
                      </w:r>
                      <w:r w:rsidR="0093328A">
                        <w:rPr>
                          <w:rFonts w:ascii="Roboto" w:hAnsi="Roboto"/>
                          <w:color w:val="0B1A34"/>
                          <w:lang w:eastAsia="en-GB"/>
                        </w:rPr>
                        <w:t>2013/36/EU (CRD IV)</w:t>
                      </w:r>
                      <w:r w:rsidRPr="004E0E1B">
                        <w:rPr>
                          <w:rFonts w:ascii="Roboto" w:hAnsi="Roboto"/>
                          <w:color w:val="0B1A34"/>
                          <w:lang w:eastAsia="en-GB"/>
                        </w:rPr>
                        <w:t xml:space="preserve"> </w:t>
                      </w:r>
                      <w:r w:rsidR="0093328A">
                        <w:rPr>
                          <w:rFonts w:ascii="Roboto" w:hAnsi="Roboto"/>
                          <w:color w:val="0B1A34"/>
                          <w:lang w:eastAsia="en-GB"/>
                        </w:rPr>
                        <w:t>and</w:t>
                      </w:r>
                      <w:r w:rsidR="0093328A" w:rsidRPr="004E0E1B">
                        <w:rPr>
                          <w:rFonts w:ascii="Roboto" w:hAnsi="Roboto"/>
                          <w:color w:val="0B1A34"/>
                          <w:lang w:eastAsia="en-GB"/>
                        </w:rPr>
                        <w:t xml:space="preserve"> </w:t>
                      </w:r>
                      <w:r w:rsidR="0093328A">
                        <w:rPr>
                          <w:rFonts w:ascii="Roboto" w:hAnsi="Roboto"/>
                          <w:color w:val="0B1A34"/>
                          <w:lang w:eastAsia="en-GB"/>
                        </w:rPr>
                        <w:t>Regulation (EU) 575/2013 (CRR)</w:t>
                      </w:r>
                      <w:r w:rsidRPr="004E0E1B">
                        <w:rPr>
                          <w:rFonts w:ascii="Roboto" w:hAnsi="Roboto"/>
                          <w:color w:val="0B1A34"/>
                          <w:lang w:eastAsia="en-GB"/>
                        </w:rPr>
                        <w:t xml:space="preserve"> or, in relation to a group the parent undertaking of which has its head office in a third country, the same consolidated supervision by a third-country competent authority verified as equivalent to that governed by the principles laid down in Article </w:t>
                      </w:r>
                      <w:r w:rsidR="00817B4B">
                        <w:rPr>
                          <w:rFonts w:ascii="Roboto" w:hAnsi="Roboto"/>
                          <w:color w:val="0B1A34"/>
                          <w:lang w:eastAsia="en-GB"/>
                        </w:rPr>
                        <w:t>127 of CRD</w:t>
                      </w:r>
                      <w:r w:rsidR="007D15ED">
                        <w:rPr>
                          <w:rFonts w:ascii="Roboto" w:hAnsi="Roboto"/>
                          <w:color w:val="0B1A34"/>
                          <w:lang w:eastAsia="en-GB"/>
                        </w:rPr>
                        <w:t xml:space="preserve"> IV.</w:t>
                      </w:r>
                    </w:p>
                    <w:p w14:paraId="27DF627C" w14:textId="77777777" w:rsidR="006D3409" w:rsidRPr="00AE1EF1" w:rsidRDefault="006D3409" w:rsidP="00AE1EF1"/>
                  </w:txbxContent>
                </v:textbox>
                <w10:anchorlock/>
              </v:rect>
            </w:pict>
          </mc:Fallback>
        </mc:AlternateContent>
      </w:r>
    </w:p>
    <w:p w14:paraId="156DBFE4" w14:textId="77777777" w:rsidR="00AE1EF1" w:rsidRDefault="00AE1EF1" w:rsidP="00AE1EF1">
      <w:pPr>
        <w:rPr>
          <w:rFonts w:ascii="Roboto" w:hAnsi="Roboto"/>
        </w:rPr>
      </w:pPr>
    </w:p>
    <w:p w14:paraId="77DCCABE" w14:textId="21A7F2A1" w:rsidR="00AE1EF1" w:rsidRPr="004E0E1B" w:rsidRDefault="00AE1EF1" w:rsidP="00AE1EF1">
      <w:pPr>
        <w:rPr>
          <w:rFonts w:ascii="Roboto" w:hAnsi="Roboto"/>
        </w:rPr>
      </w:pPr>
      <w:r w:rsidRPr="004E0E1B">
        <w:rPr>
          <w:rFonts w:ascii="Roboto" w:hAnsi="Roboto"/>
          <w:noProof/>
        </w:rPr>
        <w:lastRenderedPageBreak/>
        <mc:AlternateContent>
          <mc:Choice Requires="wps">
            <w:drawing>
              <wp:inline distT="0" distB="0" distL="0" distR="0" wp14:anchorId="4313BDD0" wp14:editId="74ECAAFA">
                <wp:extent cx="5693134" cy="6988810"/>
                <wp:effectExtent l="0" t="0" r="3175" b="6985"/>
                <wp:docPr id="3271419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3134" cy="6988810"/>
                        </a:xfrm>
                        <a:prstGeom prst="rect">
                          <a:avLst/>
                        </a:prstGeom>
                        <a:solidFill>
                          <a:srgbClr val="EAEAEA"/>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D327E31" w14:textId="77777777" w:rsidR="00AE1EF1" w:rsidRPr="00AE1EF1" w:rsidRDefault="00AE1EF1" w:rsidP="004E0E1B">
                            <w:pPr>
                              <w:spacing w:after="240"/>
                            </w:pPr>
                            <w:r w:rsidRPr="00AE1EF1">
                              <w:rPr>
                                <w:rFonts w:ascii="Roboto" w:hAnsi="Roboto"/>
                                <w:color w:val="0B1A34"/>
                                <w:lang w:eastAsia="en-GB"/>
                              </w:rPr>
                              <w:t>For the purposes of this notification / application, counterparties shall be expected to provide sufficient documentary evidence that they are included in the same consolidation on a full basis in accordance with Article 3 of EMIR, as amended and in force.</w:t>
                            </w:r>
                          </w:p>
                          <w:p w14:paraId="5C129C6C" w14:textId="77777777" w:rsidR="00AE1EF1" w:rsidRPr="00AE1EF1" w:rsidRDefault="00AE1EF1" w:rsidP="004E0E1B">
                            <w:pPr>
                              <w:spacing w:after="240"/>
                              <w:rPr>
                                <w:rFonts w:ascii="Roboto" w:hAnsi="Roboto"/>
                                <w:color w:val="0B1A34"/>
                                <w:lang w:eastAsia="en-GB"/>
                              </w:rPr>
                            </w:pPr>
                            <w:r w:rsidRPr="00AE1EF1">
                              <w:rPr>
                                <w:rFonts w:ascii="Roboto" w:hAnsi="Roboto"/>
                                <w:color w:val="0B1A34"/>
                                <w:lang w:eastAsia="en-GB"/>
                              </w:rPr>
                              <w:t>Such evidence may include, where relevant:</w:t>
                            </w:r>
                          </w:p>
                          <w:p w14:paraId="5107C2B6" w14:textId="77777777" w:rsidR="00AE1EF1" w:rsidRPr="004E0E1B" w:rsidRDefault="00AE1EF1" w:rsidP="004E0E1B">
                            <w:pPr>
                              <w:pStyle w:val="ListParagraph"/>
                              <w:numPr>
                                <w:ilvl w:val="0"/>
                                <w:numId w:val="39"/>
                              </w:numPr>
                              <w:spacing w:after="240"/>
                              <w:rPr>
                                <w:rFonts w:ascii="Roboto" w:hAnsi="Roboto"/>
                                <w:color w:val="0B1A34"/>
                                <w:lang w:eastAsia="en-GB"/>
                              </w:rPr>
                            </w:pPr>
                            <w:r w:rsidRPr="004E0E1B">
                              <w:rPr>
                                <w:rFonts w:ascii="Roboto" w:hAnsi="Roboto"/>
                                <w:color w:val="0B1A34"/>
                                <w:lang w:eastAsia="en-GB"/>
                              </w:rPr>
                              <w:t>group structure charts;</w:t>
                            </w:r>
                          </w:p>
                          <w:p w14:paraId="15106FC4" w14:textId="77777777" w:rsidR="00AE1EF1" w:rsidRDefault="00AE1EF1" w:rsidP="00D64F94">
                            <w:pPr>
                              <w:pStyle w:val="ListParagraph"/>
                              <w:numPr>
                                <w:ilvl w:val="0"/>
                                <w:numId w:val="39"/>
                              </w:numPr>
                              <w:spacing w:after="240"/>
                              <w:rPr>
                                <w:rFonts w:ascii="Roboto" w:hAnsi="Roboto"/>
                                <w:color w:val="0B1A34"/>
                                <w:lang w:eastAsia="en-GB"/>
                              </w:rPr>
                            </w:pPr>
                            <w:r w:rsidRPr="004E0E1B">
                              <w:rPr>
                                <w:rFonts w:ascii="Roboto" w:hAnsi="Roboto"/>
                                <w:color w:val="0B1A34"/>
                                <w:lang w:eastAsia="en-GB"/>
                              </w:rPr>
                              <w:t>audited consolidated financial statements;</w:t>
                            </w:r>
                          </w:p>
                          <w:p w14:paraId="44CBB353" w14:textId="77777777" w:rsidR="00AE1EF1" w:rsidRDefault="00AE1EF1" w:rsidP="00D64F94">
                            <w:pPr>
                              <w:pStyle w:val="ListParagraph"/>
                              <w:numPr>
                                <w:ilvl w:val="0"/>
                                <w:numId w:val="39"/>
                              </w:numPr>
                              <w:spacing w:after="240"/>
                              <w:rPr>
                                <w:rFonts w:ascii="Roboto" w:hAnsi="Roboto"/>
                                <w:color w:val="0B1A34"/>
                                <w:lang w:eastAsia="en-GB"/>
                              </w:rPr>
                            </w:pPr>
                            <w:r w:rsidRPr="004E0E1B">
                              <w:rPr>
                                <w:rFonts w:ascii="Roboto" w:hAnsi="Roboto"/>
                                <w:color w:val="0B1A34"/>
                                <w:lang w:eastAsia="en-GB"/>
                              </w:rPr>
                              <w:t>prudential consolidation documentation;</w:t>
                            </w:r>
                          </w:p>
                          <w:p w14:paraId="4CDE2832" w14:textId="77777777" w:rsidR="00AE1EF1" w:rsidRDefault="00AE1EF1" w:rsidP="00D64F94">
                            <w:pPr>
                              <w:pStyle w:val="ListParagraph"/>
                              <w:numPr>
                                <w:ilvl w:val="0"/>
                                <w:numId w:val="39"/>
                              </w:numPr>
                              <w:spacing w:after="240"/>
                              <w:rPr>
                                <w:rFonts w:ascii="Roboto" w:hAnsi="Roboto"/>
                                <w:color w:val="0B1A34"/>
                                <w:lang w:eastAsia="en-GB"/>
                              </w:rPr>
                            </w:pPr>
                            <w:r w:rsidRPr="004E0E1B">
                              <w:rPr>
                                <w:rFonts w:ascii="Roboto" w:hAnsi="Roboto"/>
                                <w:color w:val="0B1A34"/>
                                <w:lang w:eastAsia="en-GB"/>
                              </w:rPr>
                              <w:t>internal governance and risk framework documentation; and</w:t>
                            </w:r>
                          </w:p>
                          <w:p w14:paraId="3FD8FCEE" w14:textId="099D6143" w:rsidR="00AE1EF1" w:rsidRPr="004E0E1B" w:rsidRDefault="00AE1EF1" w:rsidP="004E0E1B">
                            <w:pPr>
                              <w:pStyle w:val="ListParagraph"/>
                              <w:numPr>
                                <w:ilvl w:val="0"/>
                                <w:numId w:val="39"/>
                              </w:numPr>
                              <w:spacing w:after="240"/>
                              <w:rPr>
                                <w:rFonts w:ascii="Roboto" w:hAnsi="Roboto"/>
                                <w:color w:val="0B1A34"/>
                                <w:lang w:eastAsia="en-GB"/>
                              </w:rPr>
                            </w:pPr>
                            <w:r w:rsidRPr="004E0E1B">
                              <w:rPr>
                                <w:rFonts w:ascii="Roboto" w:hAnsi="Roboto"/>
                                <w:color w:val="0B1A34"/>
                                <w:lang w:eastAsia="en-GB"/>
                              </w:rPr>
                              <w:t>any legal or regulatory analysis relied upon to support intragroup treatment.</w:t>
                            </w:r>
                          </w:p>
                          <w:p w14:paraId="61B7A36A" w14:textId="77777777" w:rsidR="00AE1EF1" w:rsidRPr="00AE1EF1" w:rsidRDefault="00AE1EF1" w:rsidP="00AE1EF1"/>
                        </w:txbxContent>
                      </wps:txbx>
                      <wps:bodyPr rot="0" vert="horz" wrap="square" lIns="91440" tIns="45720" rIns="91440" bIns="45720" anchor="ctr" anchorCtr="0">
                        <a:spAutoFit/>
                      </wps:bodyPr>
                    </wps:wsp>
                  </a:graphicData>
                </a:graphic>
              </wp:inline>
            </w:drawing>
          </mc:Choice>
          <mc:Fallback>
            <w:pict>
              <v:rect w14:anchorId="4313BDD0" id="_x0000_s1027" style="width:448.3pt;height:55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" fillcolor="#eaeaea" stroked="f" strokeweight="1pt">
                <v:textbox style="mso-fit-shape-to-text:t">
                  <w:txbxContent>
                    <w:p w14:paraId="2D327E31" w14:textId="77777777" w:rsidR="00AE1EF1" w:rsidRPr="00AE1EF1" w:rsidRDefault="00AE1EF1" w:rsidP="004E0E1B">
                      <w:pPr>
                        <w:spacing w:after="240"/>
                      </w:pPr>
                      <w:r w:rsidRPr="00AE1EF1">
                        <w:rPr>
                          <w:rFonts w:ascii="Roboto" w:hAnsi="Roboto"/>
                          <w:color w:val="0B1A34"/>
                          <w:lang w:eastAsia="en-GB"/>
                        </w:rPr>
                        <w:t>For the purposes of this notification / application, counterparties shall be expected to provide sufficient documentary evidence that they are included in the same consolidation on a full basis in accordance with Article 3 of EMIR, as amended and in force.</w:t>
                      </w:r>
                    </w:p>
                    <w:p w14:paraId="5C129C6C" w14:textId="77777777" w:rsidR="00AE1EF1" w:rsidRPr="00AE1EF1" w:rsidRDefault="00AE1EF1" w:rsidP="004E0E1B">
                      <w:pPr>
                        <w:spacing w:after="240"/>
                        <w:rPr>
                          <w:rFonts w:ascii="Roboto" w:hAnsi="Roboto"/>
                          <w:color w:val="0B1A34"/>
                          <w:lang w:eastAsia="en-GB"/>
                        </w:rPr>
                      </w:pPr>
                      <w:r w:rsidRPr="00AE1EF1">
                        <w:rPr>
                          <w:rFonts w:ascii="Roboto" w:hAnsi="Roboto"/>
                          <w:color w:val="0B1A34"/>
                          <w:lang w:eastAsia="en-GB"/>
                        </w:rPr>
                        <w:t>Such evidence may include, where relevant:</w:t>
                      </w:r>
                    </w:p>
                    <w:p w14:paraId="5107C2B6" w14:textId="77777777" w:rsidR="00AE1EF1" w:rsidRPr="004E0E1B" w:rsidRDefault="00AE1EF1" w:rsidP="004E0E1B">
                      <w:pPr>
                        <w:pStyle w:val="ListParagraph"/>
                        <w:numPr>
                          <w:ilvl w:val="0"/>
                          <w:numId w:val="39"/>
                        </w:numPr>
                        <w:spacing w:after="240"/>
                        <w:rPr>
                          <w:rFonts w:ascii="Roboto" w:hAnsi="Roboto"/>
                          <w:color w:val="0B1A34"/>
                          <w:lang w:eastAsia="en-GB"/>
                        </w:rPr>
                      </w:pPr>
                      <w:r w:rsidRPr="004E0E1B">
                        <w:rPr>
                          <w:rFonts w:ascii="Roboto" w:hAnsi="Roboto"/>
                          <w:color w:val="0B1A34"/>
                          <w:lang w:eastAsia="en-GB"/>
                        </w:rPr>
                        <w:t>group structure charts;</w:t>
                      </w:r>
                    </w:p>
                    <w:p w14:paraId="15106FC4" w14:textId="77777777" w:rsidR="00AE1EF1" w:rsidRDefault="00AE1EF1" w:rsidP="00D64F94">
                      <w:pPr>
                        <w:pStyle w:val="ListParagraph"/>
                        <w:numPr>
                          <w:ilvl w:val="0"/>
                          <w:numId w:val="39"/>
                        </w:numPr>
                        <w:spacing w:after="240"/>
                        <w:rPr>
                          <w:rFonts w:ascii="Roboto" w:hAnsi="Roboto"/>
                          <w:color w:val="0B1A34"/>
                          <w:lang w:eastAsia="en-GB"/>
                        </w:rPr>
                      </w:pPr>
                      <w:r w:rsidRPr="004E0E1B">
                        <w:rPr>
                          <w:rFonts w:ascii="Roboto" w:hAnsi="Roboto"/>
                          <w:color w:val="0B1A34"/>
                          <w:lang w:eastAsia="en-GB"/>
                        </w:rPr>
                        <w:t>audited consolidated financial statements;</w:t>
                      </w:r>
                    </w:p>
                    <w:p w14:paraId="44CBB353" w14:textId="77777777" w:rsidR="00AE1EF1" w:rsidRDefault="00AE1EF1" w:rsidP="00D64F94">
                      <w:pPr>
                        <w:pStyle w:val="ListParagraph"/>
                        <w:numPr>
                          <w:ilvl w:val="0"/>
                          <w:numId w:val="39"/>
                        </w:numPr>
                        <w:spacing w:after="240"/>
                        <w:rPr>
                          <w:rFonts w:ascii="Roboto" w:hAnsi="Roboto"/>
                          <w:color w:val="0B1A34"/>
                          <w:lang w:eastAsia="en-GB"/>
                        </w:rPr>
                      </w:pPr>
                      <w:r w:rsidRPr="004E0E1B">
                        <w:rPr>
                          <w:rFonts w:ascii="Roboto" w:hAnsi="Roboto"/>
                          <w:color w:val="0B1A34"/>
                          <w:lang w:eastAsia="en-GB"/>
                        </w:rPr>
                        <w:t>prudential consolidation documentation;</w:t>
                      </w:r>
                    </w:p>
                    <w:p w14:paraId="4CDE2832" w14:textId="77777777" w:rsidR="00AE1EF1" w:rsidRDefault="00AE1EF1" w:rsidP="00D64F94">
                      <w:pPr>
                        <w:pStyle w:val="ListParagraph"/>
                        <w:numPr>
                          <w:ilvl w:val="0"/>
                          <w:numId w:val="39"/>
                        </w:numPr>
                        <w:spacing w:after="240"/>
                        <w:rPr>
                          <w:rFonts w:ascii="Roboto" w:hAnsi="Roboto"/>
                          <w:color w:val="0B1A34"/>
                          <w:lang w:eastAsia="en-GB"/>
                        </w:rPr>
                      </w:pPr>
                      <w:r w:rsidRPr="004E0E1B">
                        <w:rPr>
                          <w:rFonts w:ascii="Roboto" w:hAnsi="Roboto"/>
                          <w:color w:val="0B1A34"/>
                          <w:lang w:eastAsia="en-GB"/>
                        </w:rPr>
                        <w:t>internal governance and risk framework documentation; and</w:t>
                      </w:r>
                    </w:p>
                    <w:p w14:paraId="3FD8FCEE" w14:textId="099D6143" w:rsidR="00AE1EF1" w:rsidRPr="004E0E1B" w:rsidRDefault="00AE1EF1" w:rsidP="004E0E1B">
                      <w:pPr>
                        <w:pStyle w:val="ListParagraph"/>
                        <w:numPr>
                          <w:ilvl w:val="0"/>
                          <w:numId w:val="39"/>
                        </w:numPr>
                        <w:spacing w:after="240"/>
                        <w:rPr>
                          <w:rFonts w:ascii="Roboto" w:hAnsi="Roboto"/>
                          <w:color w:val="0B1A34"/>
                          <w:lang w:eastAsia="en-GB"/>
                        </w:rPr>
                      </w:pPr>
                      <w:r w:rsidRPr="004E0E1B">
                        <w:rPr>
                          <w:rFonts w:ascii="Roboto" w:hAnsi="Roboto"/>
                          <w:color w:val="0B1A34"/>
                          <w:lang w:eastAsia="en-GB"/>
                        </w:rPr>
                        <w:t>any legal or regulatory analysis relied upon to support intragroup treatment.</w:t>
                      </w:r>
                    </w:p>
                    <w:p w14:paraId="61B7A36A" w14:textId="77777777" w:rsidR="00AE1EF1" w:rsidRPr="00AE1EF1" w:rsidRDefault="00AE1EF1" w:rsidP="00AE1EF1"/>
                  </w:txbxContent>
                </v:textbox>
                <w10:anchorlock/>
              </v:rect>
            </w:pict>
          </mc:Fallback>
        </mc:AlternateContent>
      </w:r>
    </w:p>
    <w:p w14:paraId="7116D075" w14:textId="5CC0CD86" w:rsidR="00F40BEE" w:rsidRPr="004E0E1B" w:rsidRDefault="00F40BEE" w:rsidP="004E0E1B">
      <w:pPr>
        <w:spacing w:before="240" w:after="240"/>
        <w:rPr>
          <w:rFonts w:ascii="Roboto" w:hAnsi="Roboto"/>
        </w:rPr>
      </w:pPr>
      <w:r w:rsidRPr="00F40BEE">
        <w:rPr>
          <w:rFonts w:ascii="Roboto" w:hAnsi="Roboto"/>
        </w:rPr>
        <w:t>OTC derivative contracts may be entered into within financial groups, non-financial groups, or groups containing both financial and non-financial undertakings. Where a contract qualifies as an intragroup transaction for one counterparty, it should also qualify as an intragroup transaction for the other counterparty to that contract, subject to the applicable conditions under EMIR.</w:t>
      </w:r>
    </w:p>
    <w:p w14:paraId="246E34AD" w14:textId="77777777" w:rsidR="009438F5" w:rsidRDefault="009438F5" w:rsidP="004E0E1B">
      <w:pPr>
        <w:spacing w:after="240"/>
        <w:rPr>
          <w:rFonts w:ascii="Roboto" w:hAnsi="Roboto"/>
        </w:rPr>
      </w:pPr>
    </w:p>
    <w:p w14:paraId="0E6576A7" w14:textId="77777777" w:rsidR="009438F5" w:rsidRPr="009438F5" w:rsidRDefault="009438F5" w:rsidP="00965E1D">
      <w:pPr>
        <w:pStyle w:val="Heading2"/>
        <w:spacing w:after="240"/>
        <w:rPr>
          <w:rFonts w:ascii="Roboto" w:hAnsi="Roboto"/>
        </w:rPr>
      </w:pPr>
      <w:r w:rsidRPr="009438F5">
        <w:rPr>
          <w:rFonts w:ascii="Roboto" w:hAnsi="Roboto"/>
        </w:rPr>
        <w:t>Exemptions Covered by This Template</w:t>
      </w:r>
    </w:p>
    <w:p w14:paraId="6585A7A7" w14:textId="77777777" w:rsidR="009438F5" w:rsidRPr="009438F5" w:rsidRDefault="009438F5" w:rsidP="00965E1D">
      <w:pPr>
        <w:spacing w:before="240" w:after="240"/>
        <w:rPr>
          <w:rFonts w:ascii="Roboto" w:hAnsi="Roboto"/>
        </w:rPr>
      </w:pPr>
      <w:r w:rsidRPr="009438F5">
        <w:rPr>
          <w:rFonts w:ascii="Roboto" w:hAnsi="Roboto"/>
        </w:rPr>
        <w:t>This template may be used, as applicable, for:</w:t>
      </w:r>
    </w:p>
    <w:p w14:paraId="537D9A58" w14:textId="118E6EFF" w:rsidR="009438F5" w:rsidRPr="009438F5" w:rsidRDefault="009438F5" w:rsidP="009438F5">
      <w:pPr>
        <w:numPr>
          <w:ilvl w:val="0"/>
          <w:numId w:val="47"/>
        </w:numPr>
        <w:spacing w:after="240"/>
        <w:rPr>
          <w:rFonts w:ascii="Roboto" w:hAnsi="Roboto"/>
        </w:rPr>
      </w:pPr>
      <w:r w:rsidRPr="009438F5">
        <w:rPr>
          <w:rFonts w:ascii="Roboto" w:hAnsi="Roboto"/>
          <w:b/>
          <w:bCs/>
        </w:rPr>
        <w:t>Exemption from the clearing obligation</w:t>
      </w:r>
      <w:r w:rsidRPr="009438F5">
        <w:rPr>
          <w:rFonts w:ascii="Roboto" w:hAnsi="Roboto"/>
        </w:rPr>
        <w:t xml:space="preserve"> under Article 4(2) EMIR; </w:t>
      </w:r>
    </w:p>
    <w:p w14:paraId="1496F24B" w14:textId="6FB312D8" w:rsidR="009438F5" w:rsidRPr="009438F5" w:rsidRDefault="009438F5" w:rsidP="009438F5">
      <w:pPr>
        <w:numPr>
          <w:ilvl w:val="0"/>
          <w:numId w:val="47"/>
        </w:numPr>
        <w:spacing w:after="240"/>
        <w:rPr>
          <w:rFonts w:ascii="Roboto" w:hAnsi="Roboto"/>
        </w:rPr>
      </w:pPr>
      <w:r w:rsidRPr="009438F5">
        <w:rPr>
          <w:rFonts w:ascii="Roboto" w:hAnsi="Roboto"/>
          <w:b/>
          <w:bCs/>
        </w:rPr>
        <w:t>Exemption from the exchange of collateral / margin requirements</w:t>
      </w:r>
      <w:r w:rsidRPr="009438F5">
        <w:rPr>
          <w:rFonts w:ascii="Roboto" w:hAnsi="Roboto"/>
        </w:rPr>
        <w:t xml:space="preserve"> under Article 11 EMIR; and </w:t>
      </w:r>
    </w:p>
    <w:p w14:paraId="7DD9F64B" w14:textId="4D20BE17" w:rsidR="009438F5" w:rsidRPr="009438F5" w:rsidRDefault="009438F5" w:rsidP="009438F5">
      <w:pPr>
        <w:numPr>
          <w:ilvl w:val="0"/>
          <w:numId w:val="47"/>
        </w:numPr>
        <w:spacing w:after="240"/>
        <w:rPr>
          <w:rFonts w:ascii="Roboto" w:hAnsi="Roboto"/>
        </w:rPr>
      </w:pPr>
      <w:r w:rsidRPr="009438F5">
        <w:rPr>
          <w:rFonts w:ascii="Roboto" w:hAnsi="Roboto"/>
          <w:b/>
          <w:bCs/>
        </w:rPr>
        <w:t>Intragroup reporting exemption</w:t>
      </w:r>
      <w:r w:rsidRPr="009438F5">
        <w:rPr>
          <w:rFonts w:ascii="Roboto" w:hAnsi="Roboto"/>
        </w:rPr>
        <w:t xml:space="preserve"> under Article 9 EMIR, where applicable.</w:t>
      </w:r>
    </w:p>
    <w:p w14:paraId="2DCA8D4A" w14:textId="77777777" w:rsidR="009438F5" w:rsidRPr="009438F5" w:rsidRDefault="009438F5" w:rsidP="009438F5">
      <w:pPr>
        <w:spacing w:after="240"/>
        <w:rPr>
          <w:rFonts w:ascii="Roboto" w:hAnsi="Roboto"/>
        </w:rPr>
      </w:pPr>
      <w:r w:rsidRPr="009438F5">
        <w:rPr>
          <w:rFonts w:ascii="Roboto" w:hAnsi="Roboto"/>
        </w:rPr>
        <w:t xml:space="preserve">Applicants should complete </w:t>
      </w:r>
      <w:r w:rsidRPr="009438F5">
        <w:rPr>
          <w:rFonts w:ascii="Roboto" w:hAnsi="Roboto"/>
          <w:b/>
          <w:bCs/>
        </w:rPr>
        <w:t>Annex I</w:t>
      </w:r>
      <w:r w:rsidRPr="009438F5">
        <w:rPr>
          <w:rFonts w:ascii="Roboto" w:hAnsi="Roboto"/>
        </w:rPr>
        <w:t xml:space="preserve"> together with any supplementary Annex applicable to the requested exemption(s).</w:t>
      </w:r>
    </w:p>
    <w:p w14:paraId="50EF53F8" w14:textId="6B997A66" w:rsidR="0084709D" w:rsidRPr="004E0E1B" w:rsidRDefault="0084709D" w:rsidP="004E0E1B">
      <w:pPr>
        <w:spacing w:after="240"/>
        <w:rPr>
          <w:rFonts w:ascii="Roboto" w:hAnsi="Roboto"/>
        </w:rPr>
      </w:pPr>
    </w:p>
    <w:p w14:paraId="08753B1F" w14:textId="79F98A65" w:rsidR="001A3F35" w:rsidRPr="004E0E1B" w:rsidRDefault="006D3409" w:rsidP="0064015B">
      <w:pPr>
        <w:pStyle w:val="Heading2"/>
        <w:rPr>
          <w:rFonts w:ascii="Roboto" w:hAnsi="Roboto"/>
        </w:rPr>
      </w:pPr>
      <w:r w:rsidRPr="004E0E1B">
        <w:rPr>
          <w:rFonts w:ascii="Roboto" w:hAnsi="Roboto"/>
        </w:rPr>
        <w:lastRenderedPageBreak/>
        <w:t xml:space="preserve">Exemption 1 - </w:t>
      </w:r>
      <w:r w:rsidR="009438F5" w:rsidRPr="009438F5">
        <w:rPr>
          <w:rFonts w:ascii="Roboto" w:hAnsi="Roboto"/>
        </w:rPr>
        <w:t>Intragroup Exemption from the Clearing Obligation</w:t>
      </w:r>
      <w:r w:rsidR="009438F5">
        <w:rPr>
          <w:rFonts w:ascii="Roboto" w:hAnsi="Roboto"/>
        </w:rPr>
        <w:t xml:space="preserve"> </w:t>
      </w:r>
    </w:p>
    <w:p w14:paraId="1469C891" w14:textId="77777777" w:rsidR="001A3F35" w:rsidRPr="004E0E1B" w:rsidRDefault="001A3F35" w:rsidP="001A3F35">
      <w:pPr>
        <w:rPr>
          <w:rFonts w:ascii="Roboto" w:hAnsi="Roboto"/>
          <w:lang w:eastAsia="en-GB"/>
        </w:rPr>
      </w:pPr>
    </w:p>
    <w:p w14:paraId="1A9737B5" w14:textId="77777777" w:rsidR="00AE1EF1" w:rsidRPr="00AE1EF1" w:rsidRDefault="00AE1EF1" w:rsidP="00AE1EF1">
      <w:pPr>
        <w:rPr>
          <w:rFonts w:ascii="Roboto" w:hAnsi="Roboto"/>
        </w:rPr>
      </w:pPr>
      <w:r w:rsidRPr="00AE1EF1">
        <w:rPr>
          <w:rFonts w:ascii="Roboto" w:hAnsi="Roboto"/>
        </w:rPr>
        <w:t xml:space="preserve">Intragroup transactions may be eligible for exemption from the clearing obligation in accordance with </w:t>
      </w:r>
      <w:r w:rsidRPr="00965E1D">
        <w:rPr>
          <w:rFonts w:ascii="Roboto" w:hAnsi="Roboto"/>
          <w:b/>
          <w:bCs/>
        </w:rPr>
        <w:t>Article 4(2) of EMIR</w:t>
      </w:r>
      <w:r w:rsidRPr="00AE1EF1">
        <w:rPr>
          <w:rFonts w:ascii="Roboto" w:hAnsi="Roboto"/>
        </w:rPr>
        <w:t xml:space="preserve">, subject to the applicable conditions under </w:t>
      </w:r>
      <w:r w:rsidRPr="00965E1D">
        <w:rPr>
          <w:rFonts w:ascii="Roboto" w:hAnsi="Roboto"/>
          <w:b/>
          <w:bCs/>
        </w:rPr>
        <w:t>Article 3 of EMIR</w:t>
      </w:r>
      <w:r w:rsidRPr="00AE1EF1">
        <w:rPr>
          <w:rFonts w:ascii="Roboto" w:hAnsi="Roboto"/>
        </w:rPr>
        <w:t xml:space="preserve"> and the relevant notification and/or authorisation process.</w:t>
      </w:r>
    </w:p>
    <w:p w14:paraId="3640E0E3" w14:textId="77777777" w:rsidR="00AE1EF1" w:rsidRPr="00AE1EF1" w:rsidRDefault="00AE1EF1" w:rsidP="00AE1EF1">
      <w:pPr>
        <w:rPr>
          <w:rFonts w:ascii="Roboto" w:hAnsi="Roboto"/>
        </w:rPr>
      </w:pPr>
    </w:p>
    <w:p w14:paraId="69627610" w14:textId="7D583DB8" w:rsidR="006D3409" w:rsidRPr="004E0E1B" w:rsidRDefault="00AE1EF1" w:rsidP="001A3F35">
      <w:pPr>
        <w:rPr>
          <w:rFonts w:ascii="Roboto" w:hAnsi="Roboto"/>
          <w:lang w:eastAsia="en-GB"/>
        </w:rPr>
      </w:pPr>
      <w:r w:rsidRPr="00AE1EF1">
        <w:rPr>
          <w:rFonts w:ascii="Roboto" w:hAnsi="Roboto"/>
        </w:rPr>
        <w:t>Applicants must identify the counterparties concerned, the category of intragroup transaction, the relevant competent authority or authorities, and provide sufficient supporting information to enable the Authority to assess whether the applicable conditions are met and whether there are grounds to object or refuse, as the case may be.</w:t>
      </w:r>
    </w:p>
    <w:p w14:paraId="7CF6EB33" w14:textId="744E7A2D" w:rsidR="00AE1EF1" w:rsidRPr="00965E1D" w:rsidRDefault="00AE1EF1" w:rsidP="00965E1D"/>
    <w:p w14:paraId="01583C87" w14:textId="3D44C3FD" w:rsidR="006D3409" w:rsidRPr="00965E1D" w:rsidRDefault="006D3409" w:rsidP="0064015B">
      <w:pPr>
        <w:pStyle w:val="Heading2"/>
        <w:rPr>
          <w:rFonts w:ascii="Roboto" w:hAnsi="Roboto"/>
        </w:rPr>
      </w:pPr>
      <w:r w:rsidRPr="004E0E1B">
        <w:rPr>
          <w:rFonts w:ascii="Roboto" w:hAnsi="Roboto"/>
        </w:rPr>
        <w:t xml:space="preserve">Exemption 2 - </w:t>
      </w:r>
      <w:r w:rsidR="009438F5" w:rsidRPr="009438F5">
        <w:rPr>
          <w:rFonts w:ascii="Roboto" w:hAnsi="Roboto"/>
        </w:rPr>
        <w:t>Intragroup Exemption from the Exchange of Collateral</w:t>
      </w:r>
    </w:p>
    <w:p w14:paraId="3116AC0F" w14:textId="77777777" w:rsidR="001A3F35" w:rsidRPr="00965E1D" w:rsidRDefault="001A3F35" w:rsidP="001A3F35">
      <w:pPr>
        <w:rPr>
          <w:rFonts w:ascii="Roboto" w:hAnsi="Roboto"/>
          <w:lang w:eastAsia="en-GB"/>
        </w:rPr>
      </w:pPr>
    </w:p>
    <w:p w14:paraId="0DE73941" w14:textId="121F9C67" w:rsidR="00AE1EF1" w:rsidRPr="00AE1EF1" w:rsidRDefault="00AE1EF1" w:rsidP="00AE1EF1">
      <w:pPr>
        <w:rPr>
          <w:rFonts w:ascii="Roboto" w:hAnsi="Roboto"/>
        </w:rPr>
      </w:pPr>
      <w:r w:rsidRPr="00AE1EF1">
        <w:rPr>
          <w:rFonts w:ascii="Roboto" w:hAnsi="Roboto"/>
        </w:rPr>
        <w:t xml:space="preserve">Certain intragroup transactions may be eligible for exemption, in whole or in part, from the collateral exchange requirements under </w:t>
      </w:r>
      <w:r w:rsidRPr="00965E1D">
        <w:rPr>
          <w:rFonts w:ascii="Roboto" w:hAnsi="Roboto"/>
          <w:b/>
          <w:bCs/>
        </w:rPr>
        <w:t>Article 11 of EMIR</w:t>
      </w:r>
      <w:r w:rsidRPr="00AE1EF1">
        <w:rPr>
          <w:rFonts w:ascii="Roboto" w:hAnsi="Roboto"/>
        </w:rPr>
        <w:t xml:space="preserve">, subject to the applicable </w:t>
      </w:r>
      <w:r w:rsidR="0060280F">
        <w:rPr>
          <w:rFonts w:ascii="Roboto" w:hAnsi="Roboto"/>
        </w:rPr>
        <w:t xml:space="preserve">regulatory </w:t>
      </w:r>
      <w:proofErr w:type="gramStart"/>
      <w:r w:rsidR="0060280F">
        <w:rPr>
          <w:rFonts w:ascii="Roboto" w:hAnsi="Roboto"/>
        </w:rPr>
        <w:t xml:space="preserve">framework </w:t>
      </w:r>
      <w:r w:rsidRPr="00AE1EF1">
        <w:rPr>
          <w:rFonts w:ascii="Roboto" w:hAnsi="Roboto"/>
        </w:rPr>
        <w:t xml:space="preserve"> and</w:t>
      </w:r>
      <w:proofErr w:type="gramEnd"/>
      <w:r w:rsidRPr="00AE1EF1">
        <w:rPr>
          <w:rFonts w:ascii="Roboto" w:hAnsi="Roboto"/>
        </w:rPr>
        <w:t xml:space="preserve"> the satisfaction of the relevant conditions.</w:t>
      </w:r>
    </w:p>
    <w:p w14:paraId="7A8C1D8B" w14:textId="77777777" w:rsidR="00AE1EF1" w:rsidRPr="00AE1EF1" w:rsidRDefault="00AE1EF1" w:rsidP="00AE1EF1">
      <w:pPr>
        <w:rPr>
          <w:rFonts w:ascii="Roboto" w:hAnsi="Roboto"/>
        </w:rPr>
      </w:pPr>
    </w:p>
    <w:p w14:paraId="6C5660C5" w14:textId="77777777" w:rsidR="00AE1EF1" w:rsidRPr="00AE1EF1" w:rsidRDefault="00AE1EF1" w:rsidP="00AE1EF1">
      <w:pPr>
        <w:rPr>
          <w:rFonts w:ascii="Roboto" w:hAnsi="Roboto"/>
        </w:rPr>
      </w:pPr>
      <w:r w:rsidRPr="00AE1EF1">
        <w:rPr>
          <w:rFonts w:ascii="Roboto" w:hAnsi="Roboto"/>
        </w:rPr>
        <w:t>Applicants must demonstrate, to the satisfaction of the Authority, that:</w:t>
      </w:r>
    </w:p>
    <w:p w14:paraId="48CB4866" w14:textId="3C9A6DC8" w:rsidR="00AE1EF1" w:rsidRPr="004E0E1B" w:rsidRDefault="00AE1EF1" w:rsidP="004E0E1B">
      <w:pPr>
        <w:pStyle w:val="ListParagraph"/>
        <w:numPr>
          <w:ilvl w:val="0"/>
          <w:numId w:val="40"/>
        </w:numPr>
        <w:rPr>
          <w:rFonts w:ascii="Roboto" w:hAnsi="Roboto"/>
        </w:rPr>
      </w:pPr>
      <w:r w:rsidRPr="004E0E1B">
        <w:rPr>
          <w:rFonts w:ascii="Roboto" w:hAnsi="Roboto"/>
        </w:rPr>
        <w:t>the counterparties’ risk-management procedures are adequately sound, robust and consistent with the level of complexity of the OTC derivative transactions concerned; and</w:t>
      </w:r>
    </w:p>
    <w:p w14:paraId="39A53B02" w14:textId="01A28D2E" w:rsidR="00AE1EF1" w:rsidRPr="004E0E1B" w:rsidRDefault="00AE1EF1" w:rsidP="004E0E1B">
      <w:pPr>
        <w:pStyle w:val="ListParagraph"/>
        <w:numPr>
          <w:ilvl w:val="0"/>
          <w:numId w:val="40"/>
        </w:numPr>
        <w:rPr>
          <w:rFonts w:ascii="Roboto" w:hAnsi="Roboto"/>
        </w:rPr>
      </w:pPr>
      <w:r w:rsidRPr="004E0E1B">
        <w:rPr>
          <w:rFonts w:ascii="Roboto" w:hAnsi="Roboto"/>
        </w:rPr>
        <w:t>there is no current or foreseen practical or legal impediment to the prompt transfer of own funds or repayment of liabilities between the counterparties.</w:t>
      </w:r>
    </w:p>
    <w:p w14:paraId="12D5A049" w14:textId="77777777" w:rsidR="00AE1EF1" w:rsidRPr="00AE1EF1" w:rsidRDefault="00AE1EF1" w:rsidP="00AE1EF1">
      <w:pPr>
        <w:rPr>
          <w:rFonts w:ascii="Roboto" w:hAnsi="Roboto"/>
        </w:rPr>
      </w:pPr>
    </w:p>
    <w:p w14:paraId="4DD38AF3" w14:textId="368025D0" w:rsidR="006D3409" w:rsidRPr="00965E1D" w:rsidRDefault="00AE1EF1" w:rsidP="00AE1EF1">
      <w:pPr>
        <w:rPr>
          <w:rFonts w:ascii="Roboto" w:hAnsi="Roboto"/>
        </w:rPr>
      </w:pPr>
      <w:r w:rsidRPr="00AE1EF1">
        <w:rPr>
          <w:rFonts w:ascii="Roboto" w:hAnsi="Roboto"/>
        </w:rPr>
        <w:t xml:space="preserve">Where relevant, applicants shall also provide supporting analysis under </w:t>
      </w:r>
      <w:r w:rsidRPr="00965E1D">
        <w:rPr>
          <w:rFonts w:ascii="Roboto" w:hAnsi="Roboto"/>
          <w:b/>
          <w:bCs/>
        </w:rPr>
        <w:t>Articles 33 and 34 of Commission Delegated Regulation (EU) 2016/2251</w:t>
      </w:r>
      <w:r w:rsidRPr="00AE1EF1">
        <w:rPr>
          <w:rFonts w:ascii="Roboto" w:hAnsi="Roboto"/>
        </w:rPr>
        <w:t>.</w:t>
      </w:r>
    </w:p>
    <w:p w14:paraId="478666E7" w14:textId="77777777" w:rsidR="009A20D1" w:rsidRPr="00965E1D" w:rsidRDefault="009A20D1" w:rsidP="001A3F35">
      <w:pPr>
        <w:rPr>
          <w:rFonts w:ascii="Roboto" w:hAnsi="Roboto"/>
        </w:rPr>
      </w:pPr>
    </w:p>
    <w:p w14:paraId="0A268D2E" w14:textId="6D376790" w:rsidR="009A20D1" w:rsidRPr="00965E1D" w:rsidRDefault="009A20D1" w:rsidP="0064015B">
      <w:pPr>
        <w:pStyle w:val="Heading2"/>
        <w:rPr>
          <w:rFonts w:ascii="Roboto" w:hAnsi="Roboto"/>
        </w:rPr>
      </w:pPr>
      <w:r w:rsidRPr="00965E1D">
        <w:rPr>
          <w:rFonts w:ascii="Roboto" w:hAnsi="Roboto"/>
        </w:rPr>
        <w:t xml:space="preserve">Intragroup </w:t>
      </w:r>
      <w:r w:rsidR="009438F5" w:rsidRPr="009438F5">
        <w:rPr>
          <w:rFonts w:ascii="Roboto" w:hAnsi="Roboto"/>
        </w:rPr>
        <w:t>Transactions Involving Financial Counterparties</w:t>
      </w:r>
    </w:p>
    <w:p w14:paraId="0402C859" w14:textId="77777777" w:rsidR="001A3F35" w:rsidRPr="00965E1D" w:rsidRDefault="001A3F35" w:rsidP="001A3F35">
      <w:pPr>
        <w:rPr>
          <w:rFonts w:ascii="Roboto" w:hAnsi="Roboto"/>
          <w:lang w:eastAsia="en-GB"/>
        </w:rPr>
      </w:pPr>
    </w:p>
    <w:p w14:paraId="79CCBF5E" w14:textId="77777777" w:rsidR="009A20D1" w:rsidRPr="00965E1D" w:rsidRDefault="009A20D1" w:rsidP="001A3F35">
      <w:pPr>
        <w:rPr>
          <w:rFonts w:ascii="Roboto" w:hAnsi="Roboto"/>
        </w:rPr>
      </w:pPr>
      <w:r w:rsidRPr="00965E1D">
        <w:rPr>
          <w:rFonts w:ascii="Roboto" w:hAnsi="Roboto"/>
        </w:rPr>
        <w:t>In relation to a financial counterparty, an intragroup transaction is any of the following:</w:t>
      </w:r>
    </w:p>
    <w:p w14:paraId="3ED66C77" w14:textId="77777777" w:rsidR="009A20D1" w:rsidRPr="00965E1D" w:rsidRDefault="009A20D1" w:rsidP="001A3F35">
      <w:pPr>
        <w:pStyle w:val="ListParagraph"/>
        <w:numPr>
          <w:ilvl w:val="0"/>
          <w:numId w:val="13"/>
        </w:numPr>
        <w:rPr>
          <w:rFonts w:ascii="Roboto" w:hAnsi="Roboto"/>
        </w:rPr>
      </w:pPr>
      <w:r w:rsidRPr="00965E1D">
        <w:rPr>
          <w:rFonts w:ascii="Roboto" w:hAnsi="Roboto"/>
        </w:rPr>
        <w:t>an OTC derivative contract entered into with another counterparty which is part of the same group, provided that the following conditions are met:</w:t>
      </w:r>
    </w:p>
    <w:p w14:paraId="430BD9B0" w14:textId="182DA865" w:rsidR="009A20D1" w:rsidRPr="00965E1D" w:rsidRDefault="009A20D1" w:rsidP="00893FCB">
      <w:pPr>
        <w:pStyle w:val="ListParagraph"/>
        <w:numPr>
          <w:ilvl w:val="0"/>
          <w:numId w:val="10"/>
        </w:numPr>
        <w:rPr>
          <w:rFonts w:ascii="Roboto" w:hAnsi="Roboto"/>
        </w:rPr>
      </w:pPr>
      <w:r w:rsidRPr="00965E1D">
        <w:rPr>
          <w:rFonts w:ascii="Roboto" w:hAnsi="Roboto"/>
        </w:rPr>
        <w:t xml:space="preserve">the financial counterparty is established in the Union or, </w:t>
      </w:r>
      <w:r w:rsidR="00893FCB" w:rsidRPr="00965E1D">
        <w:rPr>
          <w:rFonts w:ascii="Roboto" w:hAnsi="Roboto"/>
        </w:rPr>
        <w:t xml:space="preserve">where it is established in a third-country jurisdiction, the conditions in Article 3 of EMIR, as amended </w:t>
      </w:r>
      <w:r w:rsidR="00893FCB" w:rsidRPr="00965E1D">
        <w:rPr>
          <w:rFonts w:ascii="Roboto" w:hAnsi="Roboto"/>
        </w:rPr>
        <w:lastRenderedPageBreak/>
        <w:t>and in force, are met, including any applicable restrictions relating to third-country jurisdictions</w:t>
      </w:r>
      <w:r w:rsidR="0060280F">
        <w:rPr>
          <w:rStyle w:val="FootnoteReference"/>
          <w:rFonts w:ascii="Roboto" w:hAnsi="Roboto"/>
        </w:rPr>
        <w:footnoteReference w:id="1"/>
      </w:r>
    </w:p>
    <w:p w14:paraId="38AB0137" w14:textId="77777777" w:rsidR="009A20D1" w:rsidRPr="00965E1D" w:rsidRDefault="009A20D1" w:rsidP="001A3F35">
      <w:pPr>
        <w:pStyle w:val="ListParagraph"/>
        <w:numPr>
          <w:ilvl w:val="0"/>
          <w:numId w:val="10"/>
        </w:numPr>
        <w:rPr>
          <w:rFonts w:ascii="Roboto" w:hAnsi="Roboto"/>
        </w:rPr>
      </w:pPr>
      <w:r w:rsidRPr="00965E1D">
        <w:rPr>
          <w:rFonts w:ascii="Roboto" w:hAnsi="Roboto"/>
        </w:rPr>
        <w:t>the other counterparty is a financial counterparty, a financial holding company, a financial institution or an ancillary services undertaking subject to appropriate prudential requirements;</w:t>
      </w:r>
    </w:p>
    <w:p w14:paraId="135A7160" w14:textId="77777777" w:rsidR="009A20D1" w:rsidRPr="00965E1D" w:rsidRDefault="009A20D1" w:rsidP="001A3F35">
      <w:pPr>
        <w:pStyle w:val="ListParagraph"/>
        <w:numPr>
          <w:ilvl w:val="0"/>
          <w:numId w:val="10"/>
        </w:numPr>
        <w:rPr>
          <w:rFonts w:ascii="Roboto" w:hAnsi="Roboto"/>
        </w:rPr>
      </w:pPr>
      <w:r w:rsidRPr="00965E1D">
        <w:rPr>
          <w:rFonts w:ascii="Roboto" w:hAnsi="Roboto"/>
        </w:rPr>
        <w:t>both counterparties are included in the same consolidation on a full basis; and</w:t>
      </w:r>
    </w:p>
    <w:p w14:paraId="0FBC33EA" w14:textId="77777777" w:rsidR="009A20D1" w:rsidRPr="00965E1D" w:rsidRDefault="009A20D1" w:rsidP="001A3F35">
      <w:pPr>
        <w:pStyle w:val="ListParagraph"/>
        <w:numPr>
          <w:ilvl w:val="0"/>
          <w:numId w:val="10"/>
        </w:numPr>
        <w:rPr>
          <w:rFonts w:ascii="Roboto" w:hAnsi="Roboto"/>
        </w:rPr>
      </w:pPr>
      <w:r w:rsidRPr="00965E1D">
        <w:rPr>
          <w:rFonts w:ascii="Roboto" w:hAnsi="Roboto"/>
        </w:rPr>
        <w:t>both counterparties are subject to appropriate centralised risk evaluation, measurement and control procedures;</w:t>
      </w:r>
    </w:p>
    <w:p w14:paraId="422048C9" w14:textId="77777777" w:rsidR="009A20D1" w:rsidRPr="00965E1D" w:rsidRDefault="009A20D1" w:rsidP="001A3F35">
      <w:pPr>
        <w:pStyle w:val="ListParagraph"/>
        <w:rPr>
          <w:rFonts w:ascii="Roboto" w:hAnsi="Roboto"/>
        </w:rPr>
      </w:pPr>
    </w:p>
    <w:p w14:paraId="6B952A5F" w14:textId="2AA1FB78" w:rsidR="009A20D1" w:rsidRPr="00965E1D" w:rsidRDefault="009A20D1" w:rsidP="001A3F35">
      <w:pPr>
        <w:pStyle w:val="ListParagraph"/>
        <w:numPr>
          <w:ilvl w:val="0"/>
          <w:numId w:val="13"/>
        </w:numPr>
        <w:rPr>
          <w:rFonts w:ascii="Roboto" w:hAnsi="Roboto"/>
        </w:rPr>
      </w:pPr>
      <w:r w:rsidRPr="00965E1D">
        <w:rPr>
          <w:rFonts w:ascii="Roboto" w:hAnsi="Roboto"/>
        </w:rPr>
        <w:t xml:space="preserve">an OTC derivative contract entered into with another counterparty where both counterparties are part of the same institutional protection scheme, referred to in Article </w:t>
      </w:r>
      <w:r w:rsidR="00817B4B">
        <w:rPr>
          <w:rFonts w:ascii="Roboto" w:hAnsi="Roboto"/>
        </w:rPr>
        <w:t>113(7) of CRR as amended</w:t>
      </w:r>
      <w:r w:rsidRPr="00965E1D">
        <w:rPr>
          <w:rFonts w:ascii="Roboto" w:hAnsi="Roboto"/>
        </w:rPr>
        <w:t>, provided that the condition set out in point (a)(ii) of this paragraph is met;</w:t>
      </w:r>
    </w:p>
    <w:p w14:paraId="5487792B" w14:textId="77777777" w:rsidR="009A20D1" w:rsidRPr="00965E1D" w:rsidRDefault="009A20D1" w:rsidP="001A3F35">
      <w:pPr>
        <w:pStyle w:val="ListParagraph"/>
        <w:rPr>
          <w:rFonts w:ascii="Roboto" w:hAnsi="Roboto"/>
        </w:rPr>
      </w:pPr>
    </w:p>
    <w:p w14:paraId="6C404DCC" w14:textId="2338E23B" w:rsidR="009A20D1" w:rsidRPr="00965E1D" w:rsidRDefault="009A20D1" w:rsidP="001A3F35">
      <w:pPr>
        <w:pStyle w:val="ListParagraph"/>
        <w:numPr>
          <w:ilvl w:val="0"/>
          <w:numId w:val="13"/>
        </w:numPr>
        <w:rPr>
          <w:rFonts w:ascii="Roboto" w:hAnsi="Roboto"/>
        </w:rPr>
      </w:pPr>
      <w:r w:rsidRPr="00965E1D">
        <w:rPr>
          <w:rFonts w:ascii="Roboto" w:hAnsi="Roboto"/>
        </w:rPr>
        <w:t xml:space="preserve">an OTC derivative contract entered into between credit institutions affiliated to the same central body or between such credit institution and the central body, as referred to in Article </w:t>
      </w:r>
      <w:r w:rsidR="00817B4B">
        <w:rPr>
          <w:rFonts w:ascii="Roboto" w:hAnsi="Roboto"/>
        </w:rPr>
        <w:t>10(1) of CRR as amended</w:t>
      </w:r>
      <w:r w:rsidRPr="00965E1D">
        <w:rPr>
          <w:rFonts w:ascii="Roboto" w:hAnsi="Roboto"/>
        </w:rPr>
        <w:t>; or</w:t>
      </w:r>
    </w:p>
    <w:p w14:paraId="79F56984" w14:textId="77777777" w:rsidR="009A20D1" w:rsidRPr="00965E1D" w:rsidRDefault="009A20D1" w:rsidP="001A3F35">
      <w:pPr>
        <w:pStyle w:val="ListParagraph"/>
        <w:rPr>
          <w:rFonts w:ascii="Roboto" w:hAnsi="Roboto"/>
        </w:rPr>
      </w:pPr>
    </w:p>
    <w:p w14:paraId="56DDE80F" w14:textId="584BB308" w:rsidR="009A20D1" w:rsidRPr="00965E1D" w:rsidRDefault="009A20D1" w:rsidP="001A3F35">
      <w:pPr>
        <w:pStyle w:val="ListParagraph"/>
        <w:numPr>
          <w:ilvl w:val="0"/>
          <w:numId w:val="13"/>
        </w:numPr>
        <w:rPr>
          <w:rFonts w:ascii="Roboto" w:hAnsi="Roboto"/>
        </w:rPr>
      </w:pPr>
      <w:r w:rsidRPr="00965E1D">
        <w:rPr>
          <w:rFonts w:ascii="Roboto" w:hAnsi="Roboto"/>
        </w:rPr>
        <w:t xml:space="preserve">an OTC derivative contract entered into with a non-financial counterparty which is part of the same group provided that both counterparties are included in the same consolidation on a full basis and they are subject to an appropriate centralised risk evaluation, measurement and control procedures and that counterparty is established in the Union </w:t>
      </w:r>
      <w:r w:rsidR="00893FCB" w:rsidRPr="00965E1D">
        <w:rPr>
          <w:rFonts w:ascii="Roboto" w:hAnsi="Roboto"/>
        </w:rPr>
        <w:t>or, where that counterparty is established in a third-country jurisdiction, the relevant conditions in Article 3 of EMIR, as amended and in force, are met</w:t>
      </w:r>
      <w:r w:rsidRPr="00965E1D">
        <w:rPr>
          <w:rFonts w:ascii="Roboto" w:hAnsi="Roboto"/>
        </w:rPr>
        <w:t>.</w:t>
      </w:r>
    </w:p>
    <w:p w14:paraId="1A1C7213" w14:textId="77777777" w:rsidR="009A20D1" w:rsidRPr="00965E1D" w:rsidRDefault="009A20D1" w:rsidP="001A3F35">
      <w:pPr>
        <w:rPr>
          <w:rFonts w:ascii="Roboto" w:hAnsi="Roboto"/>
          <w:lang w:eastAsia="en-GB"/>
        </w:rPr>
      </w:pPr>
    </w:p>
    <w:p w14:paraId="50510896" w14:textId="6B2027F0" w:rsidR="009A20D1" w:rsidRPr="00965E1D" w:rsidRDefault="009A20D1" w:rsidP="0064015B">
      <w:pPr>
        <w:pStyle w:val="Heading2"/>
        <w:rPr>
          <w:rFonts w:ascii="Roboto" w:hAnsi="Roboto"/>
        </w:rPr>
      </w:pPr>
      <w:r w:rsidRPr="00965E1D">
        <w:rPr>
          <w:rFonts w:ascii="Roboto" w:hAnsi="Roboto"/>
        </w:rPr>
        <w:t xml:space="preserve">Intragroup </w:t>
      </w:r>
      <w:r w:rsidR="009438F5" w:rsidRPr="009438F5">
        <w:rPr>
          <w:rFonts w:ascii="Roboto" w:hAnsi="Roboto"/>
        </w:rPr>
        <w:t>Transactions Involving Non-Financial Counterparties</w:t>
      </w:r>
    </w:p>
    <w:p w14:paraId="4FC3397C" w14:textId="77777777" w:rsidR="001A3F35" w:rsidRPr="00965E1D" w:rsidRDefault="001A3F35" w:rsidP="001A3F35">
      <w:pPr>
        <w:rPr>
          <w:rFonts w:ascii="Roboto" w:hAnsi="Roboto"/>
          <w:lang w:eastAsia="en-GB"/>
        </w:rPr>
      </w:pPr>
    </w:p>
    <w:p w14:paraId="02092B47" w14:textId="77777777" w:rsidR="004E0E1B" w:rsidRPr="004E0E1B" w:rsidRDefault="004E0E1B" w:rsidP="004E0E1B">
      <w:pPr>
        <w:rPr>
          <w:rFonts w:ascii="Roboto" w:hAnsi="Roboto"/>
        </w:rPr>
      </w:pPr>
      <w:r w:rsidRPr="004E0E1B">
        <w:rPr>
          <w:rFonts w:ascii="Roboto" w:hAnsi="Roboto"/>
        </w:rPr>
        <w:t xml:space="preserve">In relation to a non-financial counterparty, an intragroup transaction shall be assessed in accordance with </w:t>
      </w:r>
      <w:r w:rsidRPr="00965E1D">
        <w:rPr>
          <w:rFonts w:ascii="Roboto" w:hAnsi="Roboto"/>
          <w:b/>
          <w:bCs/>
        </w:rPr>
        <w:t>Article 3 of EMIR</w:t>
      </w:r>
      <w:r w:rsidRPr="004E0E1B">
        <w:rPr>
          <w:rFonts w:ascii="Roboto" w:hAnsi="Roboto"/>
        </w:rPr>
        <w:t>, as amended and in force.</w:t>
      </w:r>
    </w:p>
    <w:p w14:paraId="34CDECAE" w14:textId="77777777" w:rsidR="004E0E1B" w:rsidRPr="004E0E1B" w:rsidRDefault="004E0E1B" w:rsidP="004E0E1B">
      <w:pPr>
        <w:rPr>
          <w:rFonts w:ascii="Roboto" w:hAnsi="Roboto"/>
        </w:rPr>
      </w:pPr>
    </w:p>
    <w:p w14:paraId="5AFD974B" w14:textId="77777777" w:rsidR="004E0E1B" w:rsidRPr="004E0E1B" w:rsidRDefault="004E0E1B" w:rsidP="004E0E1B">
      <w:pPr>
        <w:rPr>
          <w:rFonts w:ascii="Roboto" w:hAnsi="Roboto"/>
        </w:rPr>
      </w:pPr>
      <w:r w:rsidRPr="004E0E1B">
        <w:rPr>
          <w:rFonts w:ascii="Roboto" w:hAnsi="Roboto"/>
        </w:rPr>
        <w:t>Applicants must demonstrate that:</w:t>
      </w:r>
    </w:p>
    <w:p w14:paraId="4DA1FF0C" w14:textId="15649CC0" w:rsidR="004E0E1B" w:rsidRPr="00965E1D" w:rsidRDefault="004E0E1B" w:rsidP="00965E1D">
      <w:pPr>
        <w:pStyle w:val="ListParagraph"/>
        <w:numPr>
          <w:ilvl w:val="0"/>
          <w:numId w:val="42"/>
        </w:numPr>
        <w:rPr>
          <w:rFonts w:ascii="Roboto" w:hAnsi="Roboto"/>
        </w:rPr>
      </w:pPr>
      <w:r w:rsidRPr="00965E1D">
        <w:rPr>
          <w:rFonts w:ascii="Roboto" w:hAnsi="Roboto"/>
        </w:rPr>
        <w:t>both counterparties are part of the same group;</w:t>
      </w:r>
    </w:p>
    <w:p w14:paraId="5AC2514A" w14:textId="76072B67" w:rsidR="004E0E1B" w:rsidRPr="00965E1D" w:rsidRDefault="004E0E1B" w:rsidP="00965E1D">
      <w:pPr>
        <w:pStyle w:val="ListParagraph"/>
        <w:numPr>
          <w:ilvl w:val="0"/>
          <w:numId w:val="42"/>
        </w:numPr>
        <w:rPr>
          <w:rFonts w:ascii="Roboto" w:hAnsi="Roboto"/>
        </w:rPr>
      </w:pPr>
      <w:r w:rsidRPr="00965E1D">
        <w:rPr>
          <w:rFonts w:ascii="Roboto" w:hAnsi="Roboto"/>
        </w:rPr>
        <w:lastRenderedPageBreak/>
        <w:t>both counterparties are included in the same consolidation on a full basis;</w:t>
      </w:r>
    </w:p>
    <w:p w14:paraId="6BB56D3B" w14:textId="7AA47338" w:rsidR="004E0E1B" w:rsidRPr="00965E1D" w:rsidRDefault="004E0E1B" w:rsidP="00965E1D">
      <w:pPr>
        <w:pStyle w:val="ListParagraph"/>
        <w:numPr>
          <w:ilvl w:val="0"/>
          <w:numId w:val="42"/>
        </w:numPr>
        <w:rPr>
          <w:rFonts w:ascii="Roboto" w:hAnsi="Roboto"/>
        </w:rPr>
      </w:pPr>
      <w:r w:rsidRPr="00965E1D">
        <w:rPr>
          <w:rFonts w:ascii="Roboto" w:hAnsi="Roboto"/>
        </w:rPr>
        <w:t>both counterparties are subject to appropriate centralised risk evaluation, measurement and control procedures; and</w:t>
      </w:r>
    </w:p>
    <w:p w14:paraId="2A2C591C" w14:textId="0FC021B3" w:rsidR="004E0E1B" w:rsidRPr="00965E1D" w:rsidRDefault="004E0E1B" w:rsidP="00965E1D">
      <w:pPr>
        <w:pStyle w:val="ListParagraph"/>
        <w:numPr>
          <w:ilvl w:val="0"/>
          <w:numId w:val="42"/>
        </w:numPr>
        <w:rPr>
          <w:rFonts w:ascii="Roboto" w:hAnsi="Roboto"/>
        </w:rPr>
      </w:pPr>
      <w:r w:rsidRPr="00965E1D">
        <w:rPr>
          <w:rFonts w:ascii="Roboto" w:hAnsi="Roboto"/>
        </w:rPr>
        <w:t>where one of the counterparties is established in a third-country jurisdiction, the applicable conditions under the current EMIR framework are met.</w:t>
      </w:r>
    </w:p>
    <w:p w14:paraId="67A0F4C4" w14:textId="77777777" w:rsidR="004B5DAA" w:rsidRPr="00965E1D" w:rsidRDefault="004B5DAA" w:rsidP="001A3F35">
      <w:pPr>
        <w:rPr>
          <w:rFonts w:ascii="Roboto" w:hAnsi="Roboto"/>
        </w:rPr>
      </w:pPr>
    </w:p>
    <w:p w14:paraId="24DAE98F" w14:textId="5C3C18B0" w:rsidR="009A20D1" w:rsidRPr="00965E1D" w:rsidRDefault="004B5DAA" w:rsidP="004B5DAA">
      <w:pPr>
        <w:pStyle w:val="Heading2"/>
        <w:rPr>
          <w:rFonts w:ascii="Roboto" w:hAnsi="Roboto"/>
        </w:rPr>
      </w:pPr>
      <w:r w:rsidRPr="00965E1D">
        <w:rPr>
          <w:rFonts w:ascii="Roboto" w:hAnsi="Roboto"/>
        </w:rPr>
        <w:t>Intragroup Reporting Exemption for Non-Financial Counterparties</w:t>
      </w:r>
    </w:p>
    <w:p w14:paraId="7D3ECB11" w14:textId="77777777" w:rsidR="004B5DAA" w:rsidRPr="00965E1D" w:rsidRDefault="004B5DAA" w:rsidP="004B5DAA">
      <w:pPr>
        <w:rPr>
          <w:rFonts w:ascii="Roboto" w:hAnsi="Roboto"/>
          <w:lang w:eastAsia="en-GB"/>
        </w:rPr>
      </w:pPr>
    </w:p>
    <w:p w14:paraId="1E14BBC9" w14:textId="77777777" w:rsidR="004E3FB4" w:rsidRPr="004E3FB4" w:rsidRDefault="004E3FB4" w:rsidP="004E3FB4">
      <w:pPr>
        <w:rPr>
          <w:rFonts w:ascii="Roboto" w:hAnsi="Roboto"/>
          <w:lang w:eastAsia="en-GB"/>
        </w:rPr>
      </w:pPr>
      <w:r w:rsidRPr="004E3FB4">
        <w:rPr>
          <w:rFonts w:ascii="Roboto" w:hAnsi="Roboto"/>
          <w:lang w:eastAsia="en-GB"/>
        </w:rPr>
        <w:t xml:space="preserve">This section should be completed by a counterparty notifying the Authority of its intention to make use of the intragroup reporting exemption under </w:t>
      </w:r>
      <w:r w:rsidRPr="00965E1D">
        <w:rPr>
          <w:rFonts w:ascii="Roboto" w:hAnsi="Roboto"/>
          <w:b/>
          <w:bCs/>
          <w:lang w:eastAsia="en-GB"/>
        </w:rPr>
        <w:t>Article 9 of EMIR</w:t>
      </w:r>
      <w:r w:rsidRPr="004E3FB4">
        <w:rPr>
          <w:rFonts w:ascii="Roboto" w:hAnsi="Roboto"/>
          <w:lang w:eastAsia="en-GB"/>
        </w:rPr>
        <w:t>, as amended and in force.</w:t>
      </w:r>
    </w:p>
    <w:p w14:paraId="1C74E311" w14:textId="77777777" w:rsidR="004E3FB4" w:rsidRPr="004E3FB4" w:rsidRDefault="004E3FB4" w:rsidP="004E3FB4">
      <w:pPr>
        <w:rPr>
          <w:rFonts w:ascii="Roboto" w:hAnsi="Roboto"/>
          <w:lang w:eastAsia="en-GB"/>
        </w:rPr>
      </w:pPr>
    </w:p>
    <w:p w14:paraId="4B37BCDF" w14:textId="77777777" w:rsidR="004E3FB4" w:rsidRPr="004E3FB4" w:rsidRDefault="004E3FB4" w:rsidP="004E3FB4">
      <w:pPr>
        <w:rPr>
          <w:rFonts w:ascii="Roboto" w:hAnsi="Roboto"/>
          <w:lang w:eastAsia="en-GB"/>
        </w:rPr>
      </w:pPr>
      <w:r w:rsidRPr="004E3FB4">
        <w:rPr>
          <w:rFonts w:ascii="Roboto" w:hAnsi="Roboto"/>
          <w:lang w:eastAsia="en-GB"/>
        </w:rPr>
        <w:t>The reporting obligation may not apply to derivative contracts within the same group where at least one of the counterparties is a non-financial counterparty, or would be treated as such if established in the Union, provided that:</w:t>
      </w:r>
    </w:p>
    <w:p w14:paraId="47BEB060" w14:textId="77777777" w:rsidR="004B5DAA" w:rsidRPr="00965E1D" w:rsidRDefault="004B5DAA" w:rsidP="004B5DAA">
      <w:pPr>
        <w:rPr>
          <w:rFonts w:ascii="Roboto" w:hAnsi="Roboto"/>
          <w:szCs w:val="22"/>
          <w:lang w:eastAsia="en-GB"/>
        </w:rPr>
      </w:pPr>
    </w:p>
    <w:p w14:paraId="7981316E" w14:textId="77777777" w:rsidR="004B5DAA" w:rsidRPr="00965E1D" w:rsidRDefault="004B5DAA" w:rsidP="00965E1D">
      <w:pPr>
        <w:pStyle w:val="ListParagraph"/>
        <w:numPr>
          <w:ilvl w:val="0"/>
          <w:numId w:val="48"/>
        </w:numPr>
        <w:rPr>
          <w:rFonts w:ascii="Roboto" w:hAnsi="Roboto"/>
          <w:szCs w:val="22"/>
          <w:lang w:eastAsia="en-GB"/>
        </w:rPr>
      </w:pPr>
      <w:r w:rsidRPr="00965E1D">
        <w:rPr>
          <w:rFonts w:ascii="Roboto" w:hAnsi="Roboto"/>
          <w:szCs w:val="22"/>
          <w:lang w:eastAsia="en-GB"/>
        </w:rPr>
        <w:t>both counterparties are included in the same consolidation on a full basis;</w:t>
      </w:r>
    </w:p>
    <w:p w14:paraId="6C525201" w14:textId="77777777" w:rsidR="004B5DAA" w:rsidRPr="00965E1D" w:rsidRDefault="004B5DAA" w:rsidP="00965E1D">
      <w:pPr>
        <w:pStyle w:val="ListParagraph"/>
        <w:numPr>
          <w:ilvl w:val="0"/>
          <w:numId w:val="48"/>
        </w:numPr>
        <w:rPr>
          <w:rFonts w:ascii="Roboto" w:hAnsi="Roboto"/>
          <w:szCs w:val="22"/>
          <w:lang w:eastAsia="en-GB"/>
        </w:rPr>
      </w:pPr>
      <w:r w:rsidRPr="00965E1D">
        <w:rPr>
          <w:rFonts w:ascii="Roboto" w:hAnsi="Roboto"/>
          <w:szCs w:val="22"/>
          <w:lang w:eastAsia="en-GB"/>
        </w:rPr>
        <w:t>both counterparties are subject to appropriate centralised risk evaluation, measurement and control procedures; and</w:t>
      </w:r>
    </w:p>
    <w:p w14:paraId="2D20D2BF" w14:textId="77777777" w:rsidR="004B5DAA" w:rsidRPr="00965E1D" w:rsidRDefault="004B5DAA" w:rsidP="00965E1D">
      <w:pPr>
        <w:pStyle w:val="ListParagraph"/>
        <w:numPr>
          <w:ilvl w:val="0"/>
          <w:numId w:val="48"/>
        </w:numPr>
        <w:rPr>
          <w:rFonts w:ascii="Roboto" w:hAnsi="Roboto"/>
          <w:szCs w:val="22"/>
          <w:lang w:eastAsia="en-GB"/>
        </w:rPr>
      </w:pPr>
      <w:r w:rsidRPr="00965E1D">
        <w:rPr>
          <w:rFonts w:ascii="Roboto" w:hAnsi="Roboto"/>
          <w:szCs w:val="22"/>
          <w:lang w:eastAsia="en-GB"/>
        </w:rPr>
        <w:t>the parent</w:t>
      </w:r>
      <w:r w:rsidRPr="00965E1D">
        <w:rPr>
          <w:rFonts w:ascii="Roboto" w:hAnsi="Roboto"/>
          <w:lang w:eastAsia="en-GB"/>
        </w:rPr>
        <w:t xml:space="preserve"> undertaking is not a financial counterparty.</w:t>
      </w:r>
    </w:p>
    <w:p w14:paraId="5F41AFE5" w14:textId="77777777" w:rsidR="004B5DAA" w:rsidRPr="00965E1D" w:rsidRDefault="004B5DAA" w:rsidP="004B5DAA">
      <w:pPr>
        <w:jc w:val="left"/>
        <w:rPr>
          <w:rFonts w:ascii="Roboto" w:eastAsia="Times New Roman" w:hAnsi="Roboto" w:cs="Times New Roman"/>
          <w:color w:val="000000"/>
          <w:sz w:val="24"/>
          <w:lang w:eastAsia="en-GB"/>
        </w:rPr>
      </w:pPr>
    </w:p>
    <w:p w14:paraId="4DECBB43" w14:textId="600B0CB1" w:rsidR="004E3FB4" w:rsidRPr="004E3FB4" w:rsidRDefault="004E3FB4" w:rsidP="00965E1D">
      <w:pPr>
        <w:rPr>
          <w:rFonts w:ascii="Roboto" w:hAnsi="Roboto"/>
          <w:lang w:eastAsia="en-GB"/>
        </w:rPr>
      </w:pPr>
      <w:r w:rsidRPr="004E3FB4">
        <w:rPr>
          <w:rFonts w:ascii="Roboto" w:hAnsi="Roboto"/>
          <w:lang w:eastAsia="en-GB"/>
        </w:rPr>
        <w:t>The notification may be submitted for a single Maltese entity or, where appropriate, by a parent undertaking on behalf of multiple Maltese entities, provided that all entities in scope are clearly identified, and the relevant competent authorities are indicated.</w:t>
      </w:r>
    </w:p>
    <w:p w14:paraId="54E7EF9F" w14:textId="77777777" w:rsidR="004B5DAA" w:rsidRPr="00965E1D" w:rsidRDefault="004B5DAA" w:rsidP="004B5DAA">
      <w:pPr>
        <w:rPr>
          <w:rFonts w:ascii="Roboto" w:hAnsi="Roboto"/>
          <w:lang w:eastAsia="en-GB"/>
        </w:rPr>
      </w:pPr>
    </w:p>
    <w:p w14:paraId="60E0877E" w14:textId="77777777" w:rsidR="009A20D1" w:rsidRPr="00965E1D" w:rsidRDefault="009A20D1" w:rsidP="0064015B">
      <w:pPr>
        <w:pStyle w:val="Heading2"/>
        <w:rPr>
          <w:rFonts w:ascii="Roboto" w:hAnsi="Roboto"/>
        </w:rPr>
      </w:pPr>
      <w:r w:rsidRPr="00965E1D">
        <w:rPr>
          <w:rFonts w:ascii="Roboto" w:hAnsi="Roboto"/>
        </w:rPr>
        <w:t>Intragroup Exemption from the Clearing Obligation</w:t>
      </w:r>
    </w:p>
    <w:p w14:paraId="20BAD9B9" w14:textId="77777777" w:rsidR="001A3F35" w:rsidRPr="00965E1D" w:rsidRDefault="001A3F35" w:rsidP="001A3F35">
      <w:pPr>
        <w:rPr>
          <w:rFonts w:ascii="Roboto" w:hAnsi="Roboto"/>
          <w:lang w:eastAsia="en-GB"/>
        </w:rPr>
      </w:pPr>
    </w:p>
    <w:p w14:paraId="3B3F45BB" w14:textId="77777777" w:rsidR="009A20D1" w:rsidRPr="00965E1D" w:rsidRDefault="009A20D1" w:rsidP="001A3F35">
      <w:pPr>
        <w:rPr>
          <w:rFonts w:ascii="Roboto" w:hAnsi="Roboto"/>
        </w:rPr>
      </w:pPr>
      <w:r w:rsidRPr="00965E1D">
        <w:rPr>
          <w:rFonts w:ascii="Roboto" w:hAnsi="Roboto"/>
        </w:rPr>
        <w:t>Without prejudice to the risk-mitigation techniques under Article 11 of EMIR, intragroup transactions as described above may apply for an exemption from the clearing obligation subject to:</w:t>
      </w:r>
    </w:p>
    <w:p w14:paraId="0562E144" w14:textId="77777777" w:rsidR="009A20D1" w:rsidRPr="00965E1D" w:rsidRDefault="009A20D1" w:rsidP="001A3F35">
      <w:pPr>
        <w:rPr>
          <w:rFonts w:ascii="Roboto" w:hAnsi="Roboto"/>
        </w:rPr>
      </w:pPr>
    </w:p>
    <w:p w14:paraId="3D68A85F" w14:textId="5D60BE6C" w:rsidR="009A20D1" w:rsidRPr="00965E1D" w:rsidRDefault="009A20D1" w:rsidP="001A3F35">
      <w:pPr>
        <w:pStyle w:val="ListParagraph"/>
        <w:numPr>
          <w:ilvl w:val="0"/>
          <w:numId w:val="18"/>
        </w:numPr>
        <w:rPr>
          <w:rFonts w:ascii="Roboto" w:hAnsi="Roboto"/>
        </w:rPr>
      </w:pPr>
      <w:r w:rsidRPr="00965E1D">
        <w:rPr>
          <w:rFonts w:ascii="Roboto" w:hAnsi="Roboto"/>
        </w:rPr>
        <w:t xml:space="preserve">the two counterparties being both established in the Union belonging to the same group have first notified their respective competent authorities in writing that they intend to make use of the exemption for the OTC derivative contracts concluded </w:t>
      </w:r>
      <w:r w:rsidRPr="00965E1D">
        <w:rPr>
          <w:rFonts w:ascii="Roboto" w:hAnsi="Roboto"/>
        </w:rPr>
        <w:lastRenderedPageBreak/>
        <w:t>between each other. The notification shall be made not less than 30 calendar days before the use of the exemption. Within 30 calendar days after receipt of that notification, the competent authorities may object to the use of this exemption if the transactions between the counterparties do not meet the conditions laid down in Article 3 of EMIR, without prejudice to the right of the competent authorities to object after that period of 30 calendar days has expired where those conditions are no longer met. If there is disagreement between the competent authorities, ESMA may assist those authorities in reaching an agreement in accordance with its powers under Article 19 of Regulation (EU) No 1095/2010</w:t>
      </w:r>
      <w:r w:rsidR="0040257C">
        <w:rPr>
          <w:rFonts w:ascii="Roboto" w:hAnsi="Roboto"/>
        </w:rPr>
        <w:t xml:space="preserve"> as amended</w:t>
      </w:r>
      <w:r w:rsidRPr="00965E1D">
        <w:rPr>
          <w:rFonts w:ascii="Roboto" w:hAnsi="Roboto"/>
        </w:rPr>
        <w:t>; or</w:t>
      </w:r>
    </w:p>
    <w:p w14:paraId="731026F7" w14:textId="77777777" w:rsidR="009A20D1" w:rsidRPr="00965E1D" w:rsidRDefault="009A20D1" w:rsidP="001A3F35">
      <w:pPr>
        <w:rPr>
          <w:rFonts w:ascii="Roboto" w:hAnsi="Roboto"/>
        </w:rPr>
      </w:pPr>
    </w:p>
    <w:p w14:paraId="4DB3C57F" w14:textId="77777777" w:rsidR="009A20D1" w:rsidRPr="00965E1D" w:rsidRDefault="009A20D1" w:rsidP="001A3F35">
      <w:pPr>
        <w:pStyle w:val="ListParagraph"/>
        <w:numPr>
          <w:ilvl w:val="0"/>
          <w:numId w:val="18"/>
        </w:numPr>
        <w:rPr>
          <w:rFonts w:ascii="Roboto" w:hAnsi="Roboto"/>
        </w:rPr>
      </w:pPr>
      <w:r w:rsidRPr="00965E1D">
        <w:rPr>
          <w:rFonts w:ascii="Roboto" w:hAnsi="Roboto"/>
        </w:rPr>
        <w:t>OTC derivative contracts between two counterparties belonging to the same group which are established in a Member State and in a third country, where the counterparty established in the Union has been authorised to apply the exemption by its competent authority within 30 calendar days after it has been notified by the counterparty established in the Union, provided that the conditions laid down in Article 3 are met. The competent authority shall notify ESMA of that decision.</w:t>
      </w:r>
    </w:p>
    <w:p w14:paraId="04AC650B" w14:textId="77777777" w:rsidR="009A20D1" w:rsidRPr="00965E1D" w:rsidRDefault="009A20D1" w:rsidP="001A3F35">
      <w:pPr>
        <w:rPr>
          <w:rFonts w:ascii="Roboto" w:hAnsi="Roboto"/>
        </w:rPr>
      </w:pPr>
    </w:p>
    <w:p w14:paraId="64AD0A8B" w14:textId="77777777" w:rsidR="001A3F35" w:rsidRPr="00965E1D" w:rsidRDefault="001A3F35" w:rsidP="0064015B">
      <w:pPr>
        <w:pStyle w:val="Heading2"/>
        <w:rPr>
          <w:rFonts w:ascii="Roboto" w:hAnsi="Roboto"/>
        </w:rPr>
      </w:pPr>
      <w:r w:rsidRPr="00965E1D">
        <w:rPr>
          <w:rFonts w:ascii="Roboto" w:hAnsi="Roboto"/>
        </w:rPr>
        <w:t xml:space="preserve">Total (Exemption 1 &amp; 2) /Partial Exemption (Exemption 1) from Article 11(3) of EMIR </w:t>
      </w:r>
    </w:p>
    <w:p w14:paraId="5D7A7580" w14:textId="77777777" w:rsidR="001A3F35" w:rsidRPr="00965E1D" w:rsidRDefault="001A3F35" w:rsidP="001A3F35">
      <w:pPr>
        <w:rPr>
          <w:rFonts w:ascii="Roboto" w:hAnsi="Roboto"/>
        </w:rPr>
      </w:pPr>
    </w:p>
    <w:p w14:paraId="3DFA84C5" w14:textId="201BE5BB" w:rsidR="001A3F35" w:rsidRPr="00965E1D" w:rsidRDefault="001A3F35" w:rsidP="001A3F35">
      <w:pPr>
        <w:pStyle w:val="ListParagraph"/>
        <w:numPr>
          <w:ilvl w:val="0"/>
          <w:numId w:val="19"/>
        </w:numPr>
        <w:rPr>
          <w:rFonts w:ascii="Roboto" w:hAnsi="Roboto"/>
          <w:lang w:eastAsia="en-GB"/>
        </w:rPr>
      </w:pPr>
      <w:r w:rsidRPr="00965E1D">
        <w:rPr>
          <w:rFonts w:ascii="Roboto" w:hAnsi="Roboto"/>
          <w:lang w:eastAsia="en-GB"/>
        </w:rPr>
        <w:t xml:space="preserve">An intragroup transaction referred to in Article 3(2)(a), (b) or (c) of EMIR </w:t>
      </w:r>
      <w:r w:rsidR="0040257C">
        <w:rPr>
          <w:rFonts w:ascii="Roboto" w:hAnsi="Roboto"/>
          <w:lang w:eastAsia="en-GB"/>
        </w:rPr>
        <w:t xml:space="preserve">as amended </w:t>
      </w:r>
      <w:r w:rsidRPr="00965E1D">
        <w:rPr>
          <w:rFonts w:ascii="Roboto" w:hAnsi="Roboto"/>
          <w:lang w:eastAsia="en-GB"/>
        </w:rPr>
        <w:t>that is entered into by counterparties which are established in different Member States shall be exempt totally or partially from the requirement laid down in Article 11(3) of EMIR</w:t>
      </w:r>
      <w:r w:rsidR="0040257C">
        <w:rPr>
          <w:rFonts w:ascii="Roboto" w:hAnsi="Roboto"/>
          <w:lang w:eastAsia="en-GB"/>
        </w:rPr>
        <w:t xml:space="preserve"> as amended</w:t>
      </w:r>
      <w:r w:rsidRPr="00965E1D">
        <w:rPr>
          <w:rFonts w:ascii="Roboto" w:hAnsi="Roboto"/>
          <w:lang w:eastAsia="en-GB"/>
        </w:rPr>
        <w:t>, on the basis of a positive decision of both the relevant competent authorities, provided that the following conditions are fulfilled:</w:t>
      </w:r>
    </w:p>
    <w:p w14:paraId="4EC4482A" w14:textId="77777777" w:rsidR="001A3F35" w:rsidRPr="00965E1D" w:rsidRDefault="001A3F35" w:rsidP="001A3F35">
      <w:pPr>
        <w:pStyle w:val="ListParagraph"/>
        <w:numPr>
          <w:ilvl w:val="0"/>
          <w:numId w:val="20"/>
        </w:numPr>
        <w:rPr>
          <w:rFonts w:ascii="Roboto" w:hAnsi="Roboto"/>
          <w:lang w:eastAsia="en-GB"/>
        </w:rPr>
      </w:pPr>
      <w:r w:rsidRPr="00965E1D">
        <w:rPr>
          <w:rFonts w:ascii="Roboto" w:hAnsi="Roboto"/>
          <w:lang w:eastAsia="en-GB"/>
        </w:rPr>
        <w:t>the risk-management procedures of the counterparties are adequately sound, robust and consistent with the level of complexity of the derivative transaction;</w:t>
      </w:r>
    </w:p>
    <w:p w14:paraId="5B1161DA" w14:textId="77777777" w:rsidR="001A3F35" w:rsidRPr="00965E1D" w:rsidRDefault="001A3F35" w:rsidP="001A3F35">
      <w:pPr>
        <w:pStyle w:val="ListParagraph"/>
        <w:numPr>
          <w:ilvl w:val="0"/>
          <w:numId w:val="20"/>
        </w:numPr>
        <w:rPr>
          <w:rFonts w:ascii="Roboto" w:hAnsi="Roboto"/>
          <w:lang w:eastAsia="en-GB"/>
        </w:rPr>
      </w:pPr>
      <w:r w:rsidRPr="00965E1D">
        <w:rPr>
          <w:rFonts w:ascii="Roboto" w:hAnsi="Roboto"/>
          <w:lang w:eastAsia="en-GB"/>
        </w:rPr>
        <w:t>there is no current or foreseen practical or legal impediment to the prompt transfer of own funds or repayment of liabilities between the counterparties.</w:t>
      </w:r>
    </w:p>
    <w:p w14:paraId="44E3C5EE" w14:textId="77777777" w:rsidR="001A3F35" w:rsidRPr="00965E1D" w:rsidRDefault="001A3F35" w:rsidP="001A3F35">
      <w:pPr>
        <w:pStyle w:val="ListParagraph"/>
        <w:ind w:left="1440"/>
        <w:rPr>
          <w:rFonts w:ascii="Roboto" w:hAnsi="Roboto"/>
          <w:lang w:eastAsia="en-GB"/>
        </w:rPr>
      </w:pPr>
    </w:p>
    <w:p w14:paraId="712D1E37" w14:textId="74E6A602" w:rsidR="001A3F35" w:rsidRPr="00965E1D" w:rsidRDefault="001A3F35" w:rsidP="001A3F35">
      <w:pPr>
        <w:pStyle w:val="ListParagraph"/>
        <w:numPr>
          <w:ilvl w:val="0"/>
          <w:numId w:val="19"/>
        </w:numPr>
        <w:rPr>
          <w:rFonts w:ascii="Roboto" w:hAnsi="Roboto"/>
          <w:lang w:eastAsia="en-GB"/>
        </w:rPr>
      </w:pPr>
      <w:r w:rsidRPr="00965E1D">
        <w:rPr>
          <w:rFonts w:ascii="Roboto" w:hAnsi="Roboto"/>
          <w:lang w:eastAsia="en-GB"/>
        </w:rPr>
        <w:t xml:space="preserve">An intragroup transaction referred to in Article 3(1) of EMIR </w:t>
      </w:r>
      <w:r w:rsidR="0001284B">
        <w:rPr>
          <w:rFonts w:ascii="Roboto" w:hAnsi="Roboto"/>
          <w:lang w:eastAsia="en-GB"/>
        </w:rPr>
        <w:t xml:space="preserve">as amended </w:t>
      </w:r>
      <w:r w:rsidRPr="00965E1D">
        <w:rPr>
          <w:rFonts w:ascii="Roboto" w:hAnsi="Roboto"/>
          <w:lang w:eastAsia="en-GB"/>
        </w:rPr>
        <w:t>that is entered into by non-financial counterparties which are established in different Member States shall be exempt from the requirement laid down in Article 11(3) of EMIR</w:t>
      </w:r>
      <w:r w:rsidR="0001284B">
        <w:rPr>
          <w:rFonts w:ascii="Roboto" w:hAnsi="Roboto"/>
          <w:lang w:eastAsia="en-GB"/>
        </w:rPr>
        <w:t xml:space="preserve"> as amended</w:t>
      </w:r>
      <w:r w:rsidRPr="00965E1D">
        <w:rPr>
          <w:rFonts w:ascii="Roboto" w:hAnsi="Roboto"/>
          <w:lang w:eastAsia="en-GB"/>
        </w:rPr>
        <w:t>, provided that the following conditions are fulfilled:</w:t>
      </w:r>
    </w:p>
    <w:p w14:paraId="6AED0D41" w14:textId="77777777" w:rsidR="001A3F35" w:rsidRPr="00965E1D" w:rsidRDefault="001A3F35" w:rsidP="001A3F35">
      <w:pPr>
        <w:pStyle w:val="ListParagraph"/>
        <w:numPr>
          <w:ilvl w:val="0"/>
          <w:numId w:val="22"/>
        </w:numPr>
        <w:rPr>
          <w:rFonts w:ascii="Roboto" w:hAnsi="Roboto"/>
          <w:lang w:eastAsia="en-GB"/>
        </w:rPr>
      </w:pPr>
      <w:r w:rsidRPr="00965E1D">
        <w:rPr>
          <w:rFonts w:ascii="Roboto" w:hAnsi="Roboto"/>
          <w:lang w:eastAsia="en-GB"/>
        </w:rPr>
        <w:lastRenderedPageBreak/>
        <w:t>the risk-management procedures of the counterparties are adequately sound, robust and consistent with the level of complexity of the derivative transaction;</w:t>
      </w:r>
    </w:p>
    <w:p w14:paraId="23225866" w14:textId="77777777" w:rsidR="001A3F35" w:rsidRPr="00965E1D" w:rsidRDefault="001A3F35" w:rsidP="001A3F35">
      <w:pPr>
        <w:pStyle w:val="ListParagraph"/>
        <w:numPr>
          <w:ilvl w:val="0"/>
          <w:numId w:val="22"/>
        </w:numPr>
        <w:rPr>
          <w:rFonts w:ascii="Roboto" w:hAnsi="Roboto"/>
          <w:lang w:eastAsia="en-GB"/>
        </w:rPr>
      </w:pPr>
      <w:r w:rsidRPr="00965E1D">
        <w:rPr>
          <w:rFonts w:ascii="Roboto" w:hAnsi="Roboto"/>
          <w:lang w:eastAsia="en-GB"/>
        </w:rPr>
        <w:t>there is no current or foreseen practical or legal impediment to the prompt transfer of own funds or repayment of liabilities between the counterparties.</w:t>
      </w:r>
    </w:p>
    <w:p w14:paraId="77A5F62D" w14:textId="77777777" w:rsidR="001A3F35" w:rsidRPr="00965E1D" w:rsidRDefault="001A3F35" w:rsidP="001A3F35">
      <w:pPr>
        <w:pStyle w:val="ListParagraph"/>
        <w:ind w:left="1440"/>
        <w:rPr>
          <w:rFonts w:ascii="Roboto" w:hAnsi="Roboto"/>
          <w:lang w:eastAsia="en-GB"/>
        </w:rPr>
      </w:pPr>
    </w:p>
    <w:p w14:paraId="34E2143C" w14:textId="639EA4AB" w:rsidR="001A3F35" w:rsidRPr="00965E1D" w:rsidRDefault="001A3F35" w:rsidP="001A3F35">
      <w:pPr>
        <w:rPr>
          <w:rFonts w:ascii="Roboto" w:hAnsi="Roboto"/>
          <w:lang w:eastAsia="en-GB"/>
        </w:rPr>
      </w:pPr>
      <w:r w:rsidRPr="00965E1D">
        <w:rPr>
          <w:rFonts w:ascii="Roboto" w:hAnsi="Roboto"/>
          <w:lang w:eastAsia="en-GB"/>
        </w:rPr>
        <w:t>The non-financial counterparties shall notify their intention to apply the exemption to the competent authorities referred to in Article 10(5) of EMIR</w:t>
      </w:r>
      <w:r w:rsidR="0001284B">
        <w:rPr>
          <w:rFonts w:ascii="Roboto" w:hAnsi="Roboto"/>
          <w:lang w:eastAsia="en-GB"/>
        </w:rPr>
        <w:t xml:space="preserve"> as amended</w:t>
      </w:r>
      <w:r w:rsidRPr="00965E1D">
        <w:rPr>
          <w:rFonts w:ascii="Roboto" w:hAnsi="Roboto"/>
          <w:lang w:eastAsia="en-GB"/>
        </w:rPr>
        <w:t>. The exemption shall be valid unless either of the notified competent authorities does not agree upon fulfilment of the conditions referred to in points (a) or (b) above within three months of the date of the notification.</w:t>
      </w:r>
    </w:p>
    <w:p w14:paraId="602F0D3F" w14:textId="77777777" w:rsidR="001A3F35" w:rsidRPr="00965E1D" w:rsidRDefault="001A3F35" w:rsidP="001A3F35">
      <w:pPr>
        <w:rPr>
          <w:rFonts w:ascii="Roboto" w:hAnsi="Roboto"/>
          <w:lang w:eastAsia="en-GB"/>
        </w:rPr>
      </w:pPr>
    </w:p>
    <w:p w14:paraId="081C26B9" w14:textId="1F9AA21F" w:rsidR="001A3F35" w:rsidRPr="00965E1D" w:rsidRDefault="001A3F35" w:rsidP="00D63A4F">
      <w:pPr>
        <w:pStyle w:val="ListParagraph"/>
        <w:numPr>
          <w:ilvl w:val="0"/>
          <w:numId w:val="19"/>
        </w:numPr>
        <w:rPr>
          <w:rFonts w:ascii="Roboto" w:hAnsi="Roboto"/>
          <w:lang w:eastAsia="en-GB"/>
        </w:rPr>
      </w:pPr>
      <w:r w:rsidRPr="00965E1D">
        <w:rPr>
          <w:rFonts w:ascii="Roboto" w:hAnsi="Roboto"/>
          <w:lang w:eastAsia="en-GB"/>
        </w:rPr>
        <w:t xml:space="preserve">An intragroup transaction referred to in Article 3(2)(a) to (d) of EMIR </w:t>
      </w:r>
      <w:r w:rsidR="0001284B">
        <w:rPr>
          <w:rFonts w:ascii="Roboto" w:hAnsi="Roboto"/>
          <w:lang w:eastAsia="en-GB"/>
        </w:rPr>
        <w:t xml:space="preserve">as amended </w:t>
      </w:r>
      <w:r w:rsidRPr="00965E1D">
        <w:rPr>
          <w:rFonts w:ascii="Roboto" w:hAnsi="Roboto"/>
          <w:lang w:eastAsia="en-GB"/>
        </w:rPr>
        <w:t>that is entered into by a counterparty which is established in the Union and a counterparty which is established in a third- country jurisdiction shall be exempt totally or partially from the requirement laid down in Article 11(3) of EMIR</w:t>
      </w:r>
      <w:r w:rsidR="0001284B">
        <w:rPr>
          <w:rFonts w:ascii="Roboto" w:hAnsi="Roboto"/>
          <w:lang w:eastAsia="en-GB"/>
        </w:rPr>
        <w:t xml:space="preserve"> as amended</w:t>
      </w:r>
      <w:r w:rsidRPr="00965E1D">
        <w:rPr>
          <w:rFonts w:ascii="Roboto" w:hAnsi="Roboto"/>
          <w:lang w:eastAsia="en-GB"/>
        </w:rPr>
        <w:t>, on the basis of a positive decision of the relevant competent authority responsible for supervision of the counterparty which is established in the Union, provided that the following conditions are fulfilled:</w:t>
      </w:r>
    </w:p>
    <w:p w14:paraId="3B062BD9" w14:textId="77777777" w:rsidR="001A3F35" w:rsidRPr="00965E1D" w:rsidRDefault="001A3F35" w:rsidP="00D63A4F">
      <w:pPr>
        <w:pStyle w:val="ListParagraph"/>
        <w:numPr>
          <w:ilvl w:val="0"/>
          <w:numId w:val="25"/>
        </w:numPr>
        <w:rPr>
          <w:rFonts w:ascii="Roboto" w:hAnsi="Roboto"/>
          <w:lang w:eastAsia="en-GB"/>
        </w:rPr>
      </w:pPr>
      <w:r w:rsidRPr="00965E1D">
        <w:rPr>
          <w:rFonts w:ascii="Roboto" w:hAnsi="Roboto"/>
          <w:lang w:eastAsia="en-GB"/>
        </w:rPr>
        <w:t>the risk-management procedures of the counterparties are adequately sound, robust and consistent with the level of complexity of the derivative transaction;</w:t>
      </w:r>
    </w:p>
    <w:p w14:paraId="76CCF6D9" w14:textId="77777777" w:rsidR="001A3F35" w:rsidRPr="00965E1D" w:rsidRDefault="001A3F35" w:rsidP="00D63A4F">
      <w:pPr>
        <w:pStyle w:val="ListParagraph"/>
        <w:numPr>
          <w:ilvl w:val="0"/>
          <w:numId w:val="25"/>
        </w:numPr>
        <w:rPr>
          <w:rFonts w:ascii="Roboto" w:hAnsi="Roboto"/>
          <w:lang w:eastAsia="en-GB"/>
        </w:rPr>
      </w:pPr>
      <w:r w:rsidRPr="00965E1D">
        <w:rPr>
          <w:rFonts w:ascii="Roboto" w:hAnsi="Roboto"/>
          <w:lang w:eastAsia="en-GB"/>
        </w:rPr>
        <w:t>there is no current or foreseen practical or legal impediment to the prompt transfer of own funds or repayment of liabilities between the counterparties.</w:t>
      </w:r>
    </w:p>
    <w:p w14:paraId="3026ECED" w14:textId="77777777" w:rsidR="001A3F35" w:rsidRPr="00965E1D" w:rsidRDefault="001A3F35" w:rsidP="001A3F35">
      <w:pPr>
        <w:rPr>
          <w:rFonts w:ascii="Roboto" w:hAnsi="Roboto"/>
          <w:lang w:eastAsia="en-GB"/>
        </w:rPr>
      </w:pPr>
    </w:p>
    <w:p w14:paraId="605C10F2" w14:textId="5F6663F5" w:rsidR="00D63A4F" w:rsidRPr="00965E1D" w:rsidRDefault="00D63A4F" w:rsidP="00D63A4F">
      <w:pPr>
        <w:pStyle w:val="ListParagraph"/>
        <w:numPr>
          <w:ilvl w:val="0"/>
          <w:numId w:val="19"/>
        </w:numPr>
        <w:rPr>
          <w:rFonts w:ascii="Roboto" w:hAnsi="Roboto"/>
          <w:lang w:eastAsia="en-GB"/>
        </w:rPr>
      </w:pPr>
      <w:r w:rsidRPr="00965E1D">
        <w:rPr>
          <w:rFonts w:ascii="Roboto" w:hAnsi="Roboto"/>
          <w:lang w:eastAsia="en-GB"/>
        </w:rPr>
        <w:t xml:space="preserve">An intragroup transaction referred to in Article 3(1) of EMIR </w:t>
      </w:r>
      <w:r w:rsidR="0001284B">
        <w:rPr>
          <w:rFonts w:ascii="Roboto" w:hAnsi="Roboto"/>
          <w:lang w:eastAsia="en-GB"/>
        </w:rPr>
        <w:t xml:space="preserve">as amended </w:t>
      </w:r>
      <w:r w:rsidRPr="00965E1D">
        <w:rPr>
          <w:rFonts w:ascii="Roboto" w:hAnsi="Roboto"/>
          <w:lang w:eastAsia="en-GB"/>
        </w:rPr>
        <w:t>that is entered into by a non-financial counterparty which is established in the Union and a counterparty which is established in a third-country jurisdiction shall be exempt from the requirement laid down in Article 11(3) of EMIR</w:t>
      </w:r>
      <w:r w:rsidR="0001284B">
        <w:rPr>
          <w:rFonts w:ascii="Roboto" w:hAnsi="Roboto"/>
          <w:lang w:eastAsia="en-GB"/>
        </w:rPr>
        <w:t xml:space="preserve"> as amended</w:t>
      </w:r>
      <w:r w:rsidRPr="00965E1D">
        <w:rPr>
          <w:rFonts w:ascii="Roboto" w:hAnsi="Roboto"/>
          <w:lang w:eastAsia="en-GB"/>
        </w:rPr>
        <w:t>, provided that the following conditions are fulfilled:</w:t>
      </w:r>
    </w:p>
    <w:p w14:paraId="4702ED61" w14:textId="77777777" w:rsidR="00D63A4F" w:rsidRPr="00965E1D" w:rsidRDefault="00D63A4F" w:rsidP="00D63A4F">
      <w:pPr>
        <w:pStyle w:val="ListParagraph"/>
        <w:numPr>
          <w:ilvl w:val="0"/>
          <w:numId w:val="26"/>
        </w:numPr>
        <w:rPr>
          <w:rFonts w:ascii="Roboto" w:hAnsi="Roboto"/>
          <w:lang w:eastAsia="en-GB"/>
        </w:rPr>
      </w:pPr>
      <w:r w:rsidRPr="00965E1D">
        <w:rPr>
          <w:rFonts w:ascii="Roboto" w:hAnsi="Roboto"/>
          <w:lang w:eastAsia="en-GB"/>
        </w:rPr>
        <w:t>the risk-management procedures of the counterparties are adequately sound, robust and consistent with the level of complexity of the derivative transaction;</w:t>
      </w:r>
    </w:p>
    <w:p w14:paraId="5659776E" w14:textId="77777777" w:rsidR="00D63A4F" w:rsidRPr="00965E1D" w:rsidRDefault="00D63A4F" w:rsidP="00D63A4F">
      <w:pPr>
        <w:pStyle w:val="ListParagraph"/>
        <w:numPr>
          <w:ilvl w:val="0"/>
          <w:numId w:val="26"/>
        </w:numPr>
        <w:rPr>
          <w:rFonts w:ascii="Roboto" w:hAnsi="Roboto"/>
          <w:lang w:eastAsia="en-GB"/>
        </w:rPr>
      </w:pPr>
      <w:r w:rsidRPr="00965E1D">
        <w:rPr>
          <w:rFonts w:ascii="Roboto" w:hAnsi="Roboto"/>
          <w:lang w:eastAsia="en-GB"/>
        </w:rPr>
        <w:t>there is no current or foreseen practical or legal impediment to the prompt transfer of own funds or repayment of liabilities between the counterparties.</w:t>
      </w:r>
    </w:p>
    <w:p w14:paraId="4147A4F5" w14:textId="77777777" w:rsidR="00D63A4F" w:rsidRPr="00965E1D" w:rsidRDefault="00D63A4F" w:rsidP="00D63A4F">
      <w:pPr>
        <w:rPr>
          <w:rFonts w:ascii="Roboto" w:hAnsi="Roboto"/>
          <w:lang w:eastAsia="en-GB"/>
        </w:rPr>
      </w:pPr>
    </w:p>
    <w:p w14:paraId="7490175A" w14:textId="75451F4A" w:rsidR="00D63A4F" w:rsidRPr="00965E1D" w:rsidRDefault="00D63A4F" w:rsidP="00D63A4F">
      <w:pPr>
        <w:rPr>
          <w:rFonts w:ascii="Roboto" w:hAnsi="Roboto"/>
          <w:lang w:eastAsia="en-GB"/>
        </w:rPr>
      </w:pPr>
      <w:r w:rsidRPr="00965E1D">
        <w:rPr>
          <w:rFonts w:ascii="Roboto" w:hAnsi="Roboto"/>
          <w:lang w:eastAsia="en-GB"/>
        </w:rPr>
        <w:t>The non-financial counterparty shall notify its intention to apply the exemption to the competent authority referred to in Article 10(5) of EMIR</w:t>
      </w:r>
      <w:r w:rsidR="0001284B" w:rsidRPr="0001284B">
        <w:rPr>
          <w:rFonts w:ascii="Roboto" w:hAnsi="Roboto"/>
          <w:lang w:eastAsia="en-GB"/>
        </w:rPr>
        <w:t xml:space="preserve"> </w:t>
      </w:r>
      <w:r w:rsidR="0001284B">
        <w:rPr>
          <w:rFonts w:ascii="Roboto" w:hAnsi="Roboto"/>
          <w:lang w:eastAsia="en-GB"/>
        </w:rPr>
        <w:t>as amended</w:t>
      </w:r>
      <w:r w:rsidRPr="00965E1D">
        <w:rPr>
          <w:rFonts w:ascii="Roboto" w:hAnsi="Roboto"/>
          <w:lang w:eastAsia="en-GB"/>
        </w:rPr>
        <w:t xml:space="preserve">. The exemption shall be </w:t>
      </w:r>
      <w:r w:rsidRPr="00965E1D">
        <w:rPr>
          <w:rFonts w:ascii="Roboto" w:hAnsi="Roboto"/>
          <w:lang w:eastAsia="en-GB"/>
        </w:rPr>
        <w:lastRenderedPageBreak/>
        <w:t>valid unless the notified competent authority does not agree upon fulfilment of the conditions referred to in points (a) or (b) above within three months of the date of notification.</w:t>
      </w:r>
    </w:p>
    <w:p w14:paraId="56DCDB6B" w14:textId="77777777" w:rsidR="001A3F35" w:rsidRPr="00965E1D" w:rsidRDefault="001A3F35" w:rsidP="001A3F35">
      <w:pPr>
        <w:rPr>
          <w:rFonts w:ascii="Roboto" w:hAnsi="Roboto"/>
          <w:lang w:eastAsia="en-GB"/>
        </w:rPr>
      </w:pPr>
    </w:p>
    <w:p w14:paraId="71DA7E4C" w14:textId="6DFCE743" w:rsidR="00D63A4F" w:rsidRPr="00965E1D" w:rsidRDefault="00D63A4F" w:rsidP="001A3F35">
      <w:pPr>
        <w:pStyle w:val="ListParagraph"/>
        <w:numPr>
          <w:ilvl w:val="0"/>
          <w:numId w:val="19"/>
        </w:numPr>
        <w:rPr>
          <w:rFonts w:ascii="Roboto" w:hAnsi="Roboto"/>
          <w:lang w:eastAsia="en-GB"/>
        </w:rPr>
      </w:pPr>
      <w:r w:rsidRPr="00965E1D">
        <w:rPr>
          <w:rFonts w:ascii="Roboto" w:hAnsi="Roboto"/>
          <w:lang w:eastAsia="en-GB"/>
        </w:rPr>
        <w:t xml:space="preserve">An intragroup transaction referred to in Article 3(1) of EMIR </w:t>
      </w:r>
      <w:r w:rsidR="0001284B">
        <w:rPr>
          <w:rFonts w:ascii="Roboto" w:hAnsi="Roboto"/>
          <w:lang w:eastAsia="en-GB"/>
        </w:rPr>
        <w:t xml:space="preserve">as amended </w:t>
      </w:r>
      <w:r w:rsidRPr="00965E1D">
        <w:rPr>
          <w:rFonts w:ascii="Roboto" w:hAnsi="Roboto"/>
          <w:lang w:eastAsia="en-GB"/>
        </w:rPr>
        <w:t>that is entered into by a non-financial counterparty and a financial counterparty which are established in different Member States shall be exempt totally or partially from the requirement laid down in Article 11(3) of EMIR</w:t>
      </w:r>
      <w:r w:rsidR="0001284B" w:rsidRPr="0001284B">
        <w:rPr>
          <w:rFonts w:ascii="Roboto" w:hAnsi="Roboto"/>
          <w:lang w:eastAsia="en-GB"/>
        </w:rPr>
        <w:t xml:space="preserve"> </w:t>
      </w:r>
      <w:r w:rsidR="0001284B">
        <w:rPr>
          <w:rFonts w:ascii="Roboto" w:hAnsi="Roboto"/>
          <w:lang w:eastAsia="en-GB"/>
        </w:rPr>
        <w:t>as amended</w:t>
      </w:r>
      <w:r w:rsidRPr="00965E1D">
        <w:rPr>
          <w:rFonts w:ascii="Roboto" w:hAnsi="Roboto"/>
          <w:lang w:eastAsia="en-GB"/>
        </w:rPr>
        <w:t>, on the basis of a positive decision of the relevant competent authority responsible for supervision of the financial counterparty, provided that the following conditions are fulfilled:</w:t>
      </w:r>
    </w:p>
    <w:p w14:paraId="662C0F0F" w14:textId="77777777" w:rsidR="00D63A4F" w:rsidRPr="00965E1D" w:rsidRDefault="00D63A4F" w:rsidP="00D63A4F">
      <w:pPr>
        <w:pStyle w:val="ListParagraph"/>
        <w:numPr>
          <w:ilvl w:val="0"/>
          <w:numId w:val="29"/>
        </w:numPr>
        <w:rPr>
          <w:rFonts w:ascii="Roboto" w:hAnsi="Roboto"/>
          <w:lang w:eastAsia="en-GB"/>
        </w:rPr>
      </w:pPr>
      <w:r w:rsidRPr="00965E1D">
        <w:rPr>
          <w:rFonts w:ascii="Roboto" w:hAnsi="Roboto"/>
          <w:lang w:eastAsia="en-GB"/>
        </w:rPr>
        <w:t>the risk-management procedures of the counterparties are adequately sound, robust and consistent with the level of complexity of the derivative transaction;</w:t>
      </w:r>
    </w:p>
    <w:p w14:paraId="434AB08E" w14:textId="77777777" w:rsidR="00D63A4F" w:rsidRPr="00965E1D" w:rsidRDefault="00D63A4F" w:rsidP="00D63A4F">
      <w:pPr>
        <w:pStyle w:val="ListParagraph"/>
        <w:numPr>
          <w:ilvl w:val="0"/>
          <w:numId w:val="29"/>
        </w:numPr>
        <w:rPr>
          <w:rFonts w:ascii="Roboto" w:hAnsi="Roboto"/>
          <w:lang w:eastAsia="en-GB"/>
        </w:rPr>
      </w:pPr>
      <w:r w:rsidRPr="00965E1D">
        <w:rPr>
          <w:rFonts w:ascii="Roboto" w:hAnsi="Roboto"/>
          <w:lang w:eastAsia="en-GB"/>
        </w:rPr>
        <w:t>there is no current or foreseen practical or legal impediment to the prompt transfer of own funds or repayment of liabilities between the counterparties.</w:t>
      </w:r>
    </w:p>
    <w:p w14:paraId="236405F7" w14:textId="77777777" w:rsidR="001A3F35" w:rsidRPr="00965E1D" w:rsidRDefault="001A3F35" w:rsidP="00D63A4F">
      <w:pPr>
        <w:rPr>
          <w:rFonts w:ascii="Roboto" w:hAnsi="Roboto"/>
          <w:lang w:eastAsia="en-GB"/>
        </w:rPr>
      </w:pPr>
    </w:p>
    <w:p w14:paraId="4F45880E" w14:textId="093A7F71" w:rsidR="00D63A4F" w:rsidRPr="00965E1D" w:rsidRDefault="00D63A4F" w:rsidP="00D63A4F">
      <w:pPr>
        <w:rPr>
          <w:rFonts w:ascii="Roboto" w:hAnsi="Roboto"/>
          <w:b/>
          <w:bCs/>
          <w:lang w:eastAsia="en-GB"/>
        </w:rPr>
      </w:pPr>
      <w:r w:rsidRPr="00965E1D">
        <w:rPr>
          <w:rFonts w:ascii="Roboto" w:hAnsi="Roboto"/>
          <w:b/>
          <w:bCs/>
          <w:lang w:eastAsia="en-GB"/>
        </w:rPr>
        <w:t>The relevant competent authority responsible for supervision of the financial counterparty shall notify any such decision to the competent authority referred to in Article 10(5) of EMIR</w:t>
      </w:r>
      <w:r w:rsidR="0001284B" w:rsidRPr="0001284B">
        <w:rPr>
          <w:rFonts w:ascii="Roboto" w:hAnsi="Roboto"/>
          <w:lang w:eastAsia="en-GB"/>
        </w:rPr>
        <w:t xml:space="preserve"> </w:t>
      </w:r>
      <w:r w:rsidR="0001284B" w:rsidRPr="00965E1D">
        <w:rPr>
          <w:rFonts w:ascii="Roboto" w:hAnsi="Roboto"/>
          <w:b/>
          <w:bCs/>
          <w:lang w:eastAsia="en-GB"/>
        </w:rPr>
        <w:t>as amended</w:t>
      </w:r>
      <w:r w:rsidRPr="00965E1D">
        <w:rPr>
          <w:rFonts w:ascii="Roboto" w:hAnsi="Roboto"/>
          <w:b/>
          <w:bCs/>
          <w:lang w:eastAsia="en-GB"/>
        </w:rPr>
        <w:t>. The exemption is valid unless the notified competent authority does not agree upon fulfilment of the conditions referred to in point (a) or (b) of the first subparagraph.</w:t>
      </w:r>
    </w:p>
    <w:p w14:paraId="39816B2F" w14:textId="77777777" w:rsidR="00453A3A" w:rsidRPr="00965E1D" w:rsidRDefault="00453A3A" w:rsidP="00D63A4F">
      <w:pPr>
        <w:rPr>
          <w:rFonts w:ascii="Roboto" w:hAnsi="Roboto"/>
        </w:rPr>
      </w:pPr>
    </w:p>
    <w:p w14:paraId="34F9CBB5" w14:textId="4447226D" w:rsidR="00D63A4F" w:rsidRPr="00965E1D" w:rsidRDefault="00D63A4F" w:rsidP="00D63A4F">
      <w:pPr>
        <w:rPr>
          <w:rFonts w:ascii="Roboto" w:hAnsi="Roboto"/>
          <w:b/>
          <w:bCs/>
          <w:lang w:eastAsia="en-GB"/>
        </w:rPr>
      </w:pPr>
      <w:r w:rsidRPr="00965E1D">
        <w:rPr>
          <w:rFonts w:ascii="Roboto" w:hAnsi="Roboto"/>
          <w:b/>
          <w:bCs/>
          <w:lang w:eastAsia="en-GB"/>
        </w:rPr>
        <w:t>The counterparty of an intragroup transaction which has been exempted from the requirement laid down in Article 11(3) of EMIR</w:t>
      </w:r>
      <w:r w:rsidR="0001284B" w:rsidRPr="0001284B">
        <w:rPr>
          <w:rFonts w:ascii="Roboto" w:hAnsi="Roboto"/>
          <w:lang w:eastAsia="en-GB"/>
        </w:rPr>
        <w:t xml:space="preserve"> </w:t>
      </w:r>
      <w:r w:rsidR="0001284B" w:rsidRPr="00965E1D">
        <w:rPr>
          <w:rFonts w:ascii="Roboto" w:hAnsi="Roboto"/>
          <w:b/>
          <w:bCs/>
          <w:lang w:eastAsia="en-GB"/>
        </w:rPr>
        <w:t>as amended</w:t>
      </w:r>
      <w:r w:rsidRPr="00965E1D">
        <w:rPr>
          <w:rFonts w:ascii="Roboto" w:hAnsi="Roboto"/>
          <w:b/>
          <w:bCs/>
          <w:lang w:eastAsia="en-GB"/>
        </w:rPr>
        <w:t xml:space="preserve"> shall publicly disclose information on the exemption.</w:t>
      </w:r>
    </w:p>
    <w:p w14:paraId="6E08AC3A" w14:textId="77777777" w:rsidR="00E7494A" w:rsidRPr="00965E1D" w:rsidRDefault="00E7494A" w:rsidP="00D63A4F">
      <w:pPr>
        <w:rPr>
          <w:rFonts w:ascii="Roboto" w:hAnsi="Roboto"/>
          <w:b/>
          <w:bCs/>
          <w:lang w:eastAsia="en-GB"/>
        </w:rPr>
      </w:pPr>
    </w:p>
    <w:p w14:paraId="5DC4263A" w14:textId="765A45F6" w:rsidR="00B13832" w:rsidRPr="004E0E1B" w:rsidRDefault="005560EC">
      <w:pPr>
        <w:spacing w:after="160" w:line="259" w:lineRule="auto"/>
        <w:jc w:val="left"/>
        <w:rPr>
          <w:rFonts w:ascii="Roboto" w:hAnsi="Roboto"/>
        </w:rPr>
      </w:pPr>
      <w:r w:rsidRPr="004E0E1B">
        <w:rPr>
          <w:rFonts w:ascii="Roboto" w:hAnsi="Roboto"/>
          <w:noProof/>
        </w:rPr>
        <mc:AlternateContent>
          <mc:Choice Requires="wps">
            <w:drawing>
              <wp:inline distT="0" distB="0" distL="0" distR="0" wp14:anchorId="761E00FC" wp14:editId="6D3172F0">
                <wp:extent cx="5732780" cy="1032400"/>
                <wp:effectExtent l="0" t="0" r="1270" b="0"/>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2780" cy="1032400"/>
                        </a:xfrm>
                        <a:prstGeom prst="rect">
                          <a:avLst/>
                        </a:prstGeom>
                        <a:solidFill>
                          <a:srgbClr val="0B1A34"/>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5103202" w14:textId="75A8EFA6" w:rsidR="00E7494A" w:rsidRPr="00965E1D" w:rsidRDefault="00E7494A" w:rsidP="004E0E1B">
                            <w:pPr>
                              <w:rPr>
                                <w:rFonts w:ascii="Roboto" w:hAnsi="Roboto"/>
                                <w:b/>
                              </w:rPr>
                            </w:pPr>
                            <w:r w:rsidRPr="00965E1D">
                              <w:rPr>
                                <w:rFonts w:ascii="Roboto" w:hAnsi="Roboto"/>
                                <w:b/>
                                <w:color w:val="EAD4BF"/>
                                <w:lang w:eastAsia="en-GB"/>
                              </w:rPr>
                              <w:t xml:space="preserve">The counterparty applying for an exemption must fill out Annex I, along with the relevant supplementary annexes depending on the type </w:t>
                            </w:r>
                            <w:r w:rsidR="000C3C27" w:rsidRPr="00965E1D">
                              <w:rPr>
                                <w:rFonts w:ascii="Roboto" w:hAnsi="Roboto"/>
                                <w:b/>
                                <w:color w:val="EAD4BF"/>
                                <w:lang w:eastAsia="en-GB"/>
                              </w:rPr>
                              <w:t xml:space="preserve">of exemption being applied for, i.e. Exemption 1, Exemption 2 and / or the Reporting Exemption. </w:t>
                            </w:r>
                          </w:p>
                        </w:txbxContent>
                      </wps:txbx>
                      <wps:bodyPr rot="0" vert="horz" wrap="square" lIns="91440" tIns="45720" rIns="91440" bIns="45720" anchor="ctr" anchorCtr="0" upright="1">
                        <a:noAutofit/>
                      </wps:bodyPr>
                    </wps:wsp>
                  </a:graphicData>
                </a:graphic>
              </wp:inline>
            </w:drawing>
          </mc:Choice>
          <mc:Fallback>
            <w:pict>
              <v:rect w14:anchorId="761E00FC" id="Rectangle 11" o:spid="_x0000_s1028" style="width:451.4pt;height:8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" fillcolor="#0b1a34" stroked="f" strokeweight="1pt">
                <v:textbox>
                  <w:txbxContent>
                    <w:p w14:paraId="35103202" w14:textId="75A8EFA6" w:rsidR="00E7494A" w:rsidRPr="00965E1D" w:rsidRDefault="00E7494A" w:rsidP="004E0E1B">
                      <w:pPr>
                        <w:rPr>
                          <w:rFonts w:ascii="Roboto" w:hAnsi="Roboto"/>
                          <w:b/>
                        </w:rPr>
                      </w:pPr>
                      <w:r w:rsidRPr="00965E1D">
                        <w:rPr>
                          <w:rFonts w:ascii="Roboto" w:hAnsi="Roboto"/>
                          <w:b/>
                          <w:color w:val="EAD4BF"/>
                          <w:lang w:eastAsia="en-GB"/>
                        </w:rPr>
                        <w:t xml:space="preserve">The counterparty applying for an exemption must fill out Annex I, along with the relevant supplementary annexes depending on the type </w:t>
                      </w:r>
                      <w:r w:rsidR="000C3C27" w:rsidRPr="00965E1D">
                        <w:rPr>
                          <w:rFonts w:ascii="Roboto" w:hAnsi="Roboto"/>
                          <w:b/>
                          <w:color w:val="EAD4BF"/>
                          <w:lang w:eastAsia="en-GB"/>
                        </w:rPr>
                        <w:t xml:space="preserve">of exemption being applied for, i.e. Exemption 1, Exemption 2 and / or the Reporting Exemption. </w:t>
                      </w:r>
                    </w:p>
                  </w:txbxContent>
                </v:textbox>
                <w10:anchorlock/>
              </v:rect>
            </w:pict>
          </mc:Fallback>
        </mc:AlternateContent>
      </w:r>
    </w:p>
    <w:p w14:paraId="071CAA58" w14:textId="77777777" w:rsidR="007D536B" w:rsidRPr="004E0E1B" w:rsidRDefault="007D536B" w:rsidP="00B13832">
      <w:pPr>
        <w:spacing w:after="160" w:line="259" w:lineRule="auto"/>
        <w:jc w:val="left"/>
        <w:rPr>
          <w:rFonts w:ascii="Roboto" w:hAnsi="Roboto"/>
          <w:b/>
          <w:bCs/>
        </w:rPr>
      </w:pPr>
    </w:p>
    <w:p w14:paraId="39E46CD8" w14:textId="77777777" w:rsidR="00207F24" w:rsidRPr="004E0E1B" w:rsidRDefault="00207F24" w:rsidP="00B13832">
      <w:pPr>
        <w:spacing w:after="160" w:line="259" w:lineRule="auto"/>
        <w:jc w:val="left"/>
        <w:rPr>
          <w:rFonts w:ascii="Roboto" w:hAnsi="Roboto"/>
        </w:rPr>
      </w:pPr>
    </w:p>
    <w:p w14:paraId="1D4C0EA6" w14:textId="77777777" w:rsidR="00893FCB" w:rsidRPr="004E0E1B" w:rsidRDefault="00893FCB">
      <w:pPr>
        <w:spacing w:line="240" w:lineRule="auto"/>
        <w:jc w:val="left"/>
        <w:rPr>
          <w:rFonts w:ascii="Roboto" w:hAnsi="Roboto" w:cs="Poppins Light"/>
          <w:b/>
          <w:noProof/>
          <w:color w:val="0B1A34"/>
          <w:sz w:val="52"/>
          <w:szCs w:val="52"/>
          <w:lang w:eastAsia="en-GB"/>
        </w:rPr>
      </w:pPr>
      <w:r w:rsidRPr="004E0E1B">
        <w:rPr>
          <w:rFonts w:ascii="Roboto" w:hAnsi="Roboto"/>
        </w:rPr>
        <w:br w:type="page"/>
      </w:r>
    </w:p>
    <w:p w14:paraId="0B30725D" w14:textId="315B795F" w:rsidR="00D63A4F" w:rsidRPr="004E0E1B" w:rsidRDefault="005560EC" w:rsidP="00D63A4F">
      <w:pPr>
        <w:pStyle w:val="Heading1"/>
        <w:rPr>
          <w:rFonts w:ascii="Roboto" w:hAnsi="Roboto"/>
        </w:rPr>
      </w:pPr>
      <w:r w:rsidRPr="004E0E1B">
        <w:rPr>
          <w:rFonts w:ascii="Roboto" w:hAnsi="Roboto"/>
        </w:rPr>
        <w:lastRenderedPageBreak/>
        <w:drawing>
          <wp:anchor distT="0" distB="0" distL="114300" distR="114300" simplePos="0" relativeHeight="251655680" behindDoc="0" locked="0" layoutInCell="1" allowOverlap="1" wp14:anchorId="268D1459" wp14:editId="4D5C9BF8">
            <wp:simplePos x="0" y="0"/>
            <wp:positionH relativeFrom="margin">
              <wp:posOffset>0</wp:posOffset>
            </wp:positionH>
            <wp:positionV relativeFrom="paragraph">
              <wp:posOffset>481330</wp:posOffset>
            </wp:positionV>
            <wp:extent cx="713740" cy="168275"/>
            <wp:effectExtent l="0" t="0" r="0" b="0"/>
            <wp:wrapThrough wrapText="bothSides">
              <wp:wrapPolygon edited="0">
                <wp:start x="0" y="0"/>
                <wp:lineTo x="0" y="19562"/>
                <wp:lineTo x="20754" y="19562"/>
                <wp:lineTo x="20754"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l="11800" t="19539"/>
                    <a:stretch>
                      <a:fillRect/>
                    </a:stretch>
                  </pic:blipFill>
                  <pic:spPr bwMode="auto">
                    <a:xfrm>
                      <a:off x="0" y="0"/>
                      <a:ext cx="713740" cy="168275"/>
                    </a:xfrm>
                    <a:prstGeom prst="rect">
                      <a:avLst/>
                    </a:prstGeom>
                    <a:noFill/>
                  </pic:spPr>
                </pic:pic>
              </a:graphicData>
            </a:graphic>
            <wp14:sizeRelH relativeFrom="page">
              <wp14:pctWidth>0</wp14:pctWidth>
            </wp14:sizeRelH>
            <wp14:sizeRelV relativeFrom="page">
              <wp14:pctHeight>0</wp14:pctHeight>
            </wp14:sizeRelV>
          </wp:anchor>
        </w:drawing>
      </w:r>
      <w:r w:rsidR="00B4165A" w:rsidRPr="004E0E1B">
        <w:rPr>
          <w:rFonts w:ascii="Roboto" w:hAnsi="Roboto"/>
        </w:rPr>
        <w:t xml:space="preserve">Annex I - </w:t>
      </w:r>
      <w:r w:rsidR="00D63A4F" w:rsidRPr="004E0E1B">
        <w:rPr>
          <w:rFonts w:ascii="Roboto" w:hAnsi="Roboto"/>
        </w:rPr>
        <w:t>Counterparty Details</w:t>
      </w:r>
    </w:p>
    <w:p w14:paraId="038870BF" w14:textId="77777777" w:rsidR="00B4165A" w:rsidRPr="004E0E1B" w:rsidRDefault="00B4165A" w:rsidP="00B4165A">
      <w:pPr>
        <w:pStyle w:val="Heading3"/>
        <w:rPr>
          <w:rFonts w:ascii="Roboto" w:hAnsi="Roboto"/>
          <w:lang w:eastAsia="en-GB"/>
        </w:rPr>
      </w:pPr>
      <w:r w:rsidRPr="004E0E1B">
        <w:rPr>
          <w:rFonts w:ascii="Roboto" w:hAnsi="Roboto"/>
          <w:lang w:eastAsia="en-GB"/>
        </w:rPr>
        <w:t>(Compulsory)</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79"/>
      </w:tblGrid>
      <w:tr w:rsidR="00CA7902" w:rsidRPr="004E0E1B" w14:paraId="10F0DA94" w14:textId="77777777" w:rsidTr="004362DF">
        <w:trPr>
          <w:trHeight w:val="507"/>
        </w:trPr>
        <w:tc>
          <w:tcPr>
            <w:tcW w:w="9061" w:type="dxa"/>
            <w:gridSpan w:val="2"/>
            <w:shd w:val="clear" w:color="auto" w:fill="0B1A34"/>
            <w:vAlign w:val="bottom"/>
          </w:tcPr>
          <w:p w14:paraId="2EB92C9A" w14:textId="77777777" w:rsidR="00CA7902" w:rsidRPr="004E0E1B" w:rsidRDefault="00CA7902" w:rsidP="004362DF">
            <w:pPr>
              <w:jc w:val="left"/>
              <w:rPr>
                <w:rFonts w:ascii="Roboto" w:hAnsi="Roboto"/>
                <w:color w:val="FFFFFF"/>
              </w:rPr>
            </w:pPr>
            <w:r w:rsidRPr="004E0E1B">
              <w:rPr>
                <w:rFonts w:ascii="Roboto" w:hAnsi="Roboto"/>
                <w:color w:val="FFFFFF"/>
              </w:rPr>
              <w:t>Counterparty details</w:t>
            </w:r>
          </w:p>
        </w:tc>
      </w:tr>
      <w:tr w:rsidR="00405940" w:rsidRPr="004E0E1B" w14:paraId="60AE3B5D" w14:textId="77777777" w:rsidTr="004362DF">
        <w:trPr>
          <w:trHeight w:val="20"/>
        </w:trPr>
        <w:tc>
          <w:tcPr>
            <w:tcW w:w="5382" w:type="dxa"/>
          </w:tcPr>
          <w:p w14:paraId="02FE0FF3" w14:textId="77777777" w:rsidR="00D63A4F" w:rsidRPr="004E0E1B" w:rsidRDefault="00D63A4F" w:rsidP="00CA7902">
            <w:pPr>
              <w:rPr>
                <w:rFonts w:ascii="Roboto" w:hAnsi="Roboto"/>
                <w:b/>
              </w:rPr>
            </w:pPr>
            <w:r w:rsidRPr="004E0E1B">
              <w:rPr>
                <w:rFonts w:ascii="Roboto" w:hAnsi="Roboto"/>
                <w:b/>
              </w:rPr>
              <w:t>Full name of the counterparty making the notification or application:</w:t>
            </w:r>
          </w:p>
        </w:tc>
        <w:sdt>
          <w:sdtPr>
            <w:rPr>
              <w:rStyle w:val="PlaceholderText"/>
              <w:rFonts w:ascii="Roboto" w:hAnsi="Roboto"/>
            </w:rPr>
            <w:id w:val="1462459739"/>
            <w:placeholder>
              <w:docPart w:val="DefaultPlaceholder_-1854013440"/>
            </w:placeholder>
          </w:sdtPr>
          <w:sdtContent>
            <w:tc>
              <w:tcPr>
                <w:tcW w:w="3679" w:type="dxa"/>
              </w:tcPr>
              <w:p w14:paraId="67B688E2" w14:textId="1DB45E64" w:rsidR="00D63A4F"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405940" w:rsidRPr="004E0E1B" w14:paraId="57B6C9F4" w14:textId="77777777" w:rsidTr="004362DF">
        <w:trPr>
          <w:trHeight w:val="20"/>
        </w:trPr>
        <w:tc>
          <w:tcPr>
            <w:tcW w:w="5382" w:type="dxa"/>
          </w:tcPr>
          <w:p w14:paraId="172859E5" w14:textId="77777777" w:rsidR="00D63A4F" w:rsidRPr="004E0E1B" w:rsidRDefault="00D63A4F" w:rsidP="00CA7902">
            <w:pPr>
              <w:rPr>
                <w:rFonts w:ascii="Roboto" w:hAnsi="Roboto"/>
                <w:b/>
              </w:rPr>
            </w:pPr>
            <w:r w:rsidRPr="004E0E1B">
              <w:rPr>
                <w:rFonts w:ascii="Roboto" w:hAnsi="Roboto"/>
                <w:b/>
              </w:rPr>
              <w:t>The applicant is a:</w:t>
            </w:r>
            <w:r w:rsidR="00284EE8" w:rsidRPr="004E0E1B">
              <w:rPr>
                <w:rFonts w:ascii="Roboto" w:hAnsi="Roboto"/>
                <w:b/>
              </w:rPr>
              <w:t xml:space="preserve"> </w:t>
            </w:r>
            <w:r w:rsidR="00284EE8" w:rsidRPr="004E0E1B">
              <w:rPr>
                <w:rFonts w:ascii="Roboto" w:hAnsi="Roboto"/>
              </w:rPr>
              <w:t>(FC / NFC)</w:t>
            </w:r>
          </w:p>
        </w:tc>
        <w:sdt>
          <w:sdtPr>
            <w:rPr>
              <w:rStyle w:val="PlaceholderText"/>
              <w:rFonts w:ascii="Roboto" w:hAnsi="Roboto"/>
            </w:rPr>
            <w:id w:val="-27266828"/>
            <w:placeholder>
              <w:docPart w:val="DefaultPlaceholder_-1854013440"/>
            </w:placeholder>
          </w:sdtPr>
          <w:sdtContent>
            <w:tc>
              <w:tcPr>
                <w:tcW w:w="3679" w:type="dxa"/>
              </w:tcPr>
              <w:p w14:paraId="020D6A61" w14:textId="272630F0" w:rsidR="00D63A4F"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405940" w:rsidRPr="004E0E1B" w14:paraId="08BC63E4" w14:textId="77777777" w:rsidTr="004362DF">
        <w:trPr>
          <w:trHeight w:val="20"/>
        </w:trPr>
        <w:tc>
          <w:tcPr>
            <w:tcW w:w="5382" w:type="dxa"/>
          </w:tcPr>
          <w:p w14:paraId="1A6E70C2" w14:textId="77777777" w:rsidR="00D63A4F" w:rsidRPr="004E0E1B" w:rsidRDefault="00D63A4F" w:rsidP="00CA7902">
            <w:pPr>
              <w:rPr>
                <w:rFonts w:ascii="Roboto" w:hAnsi="Roboto"/>
                <w:b/>
              </w:rPr>
            </w:pPr>
            <w:r w:rsidRPr="004E0E1B">
              <w:rPr>
                <w:rFonts w:ascii="Roboto" w:hAnsi="Roboto"/>
                <w:b/>
              </w:rPr>
              <w:t>Licence no (where applicable) or Company Registration number:</w:t>
            </w:r>
          </w:p>
        </w:tc>
        <w:sdt>
          <w:sdtPr>
            <w:rPr>
              <w:rStyle w:val="PlaceholderText"/>
              <w:rFonts w:ascii="Roboto" w:hAnsi="Roboto"/>
            </w:rPr>
            <w:id w:val="-1092154700"/>
            <w:placeholder>
              <w:docPart w:val="DefaultPlaceholder_-1854013440"/>
            </w:placeholder>
          </w:sdtPr>
          <w:sdtContent>
            <w:tc>
              <w:tcPr>
                <w:tcW w:w="3679" w:type="dxa"/>
              </w:tcPr>
              <w:p w14:paraId="19E8882A" w14:textId="14BADB1A" w:rsidR="00D63A4F"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405940" w:rsidRPr="004E0E1B" w14:paraId="31BE3591" w14:textId="77777777" w:rsidTr="004362DF">
        <w:trPr>
          <w:trHeight w:val="20"/>
        </w:trPr>
        <w:tc>
          <w:tcPr>
            <w:tcW w:w="5382" w:type="dxa"/>
          </w:tcPr>
          <w:p w14:paraId="3E50D0E2" w14:textId="77777777" w:rsidR="00D63A4F" w:rsidRPr="004E0E1B" w:rsidRDefault="00D63A4F" w:rsidP="00CA7902">
            <w:pPr>
              <w:rPr>
                <w:rFonts w:ascii="Roboto" w:hAnsi="Roboto"/>
                <w:b/>
              </w:rPr>
            </w:pPr>
            <w:r w:rsidRPr="004E0E1B">
              <w:rPr>
                <w:rFonts w:ascii="Roboto" w:hAnsi="Roboto"/>
                <w:b/>
              </w:rPr>
              <w:t>Legal Entity Identifier (LEI):</w:t>
            </w:r>
          </w:p>
        </w:tc>
        <w:sdt>
          <w:sdtPr>
            <w:rPr>
              <w:rStyle w:val="PlaceholderText"/>
              <w:rFonts w:ascii="Roboto" w:hAnsi="Roboto"/>
            </w:rPr>
            <w:id w:val="-206183185"/>
            <w:placeholder>
              <w:docPart w:val="DefaultPlaceholder_-1854013440"/>
            </w:placeholder>
          </w:sdtPr>
          <w:sdtContent>
            <w:tc>
              <w:tcPr>
                <w:tcW w:w="3679" w:type="dxa"/>
              </w:tcPr>
              <w:p w14:paraId="3D6A4AA3" w14:textId="79638468" w:rsidR="00D63A4F"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405940" w:rsidRPr="004E0E1B" w14:paraId="04494ABD" w14:textId="77777777" w:rsidTr="004362DF">
        <w:trPr>
          <w:trHeight w:val="1757"/>
        </w:trPr>
        <w:tc>
          <w:tcPr>
            <w:tcW w:w="5382" w:type="dxa"/>
          </w:tcPr>
          <w:p w14:paraId="6919DA28" w14:textId="77777777" w:rsidR="00D63A4F" w:rsidRPr="004E0E1B" w:rsidRDefault="00CA7902" w:rsidP="00CA7902">
            <w:pPr>
              <w:rPr>
                <w:rFonts w:ascii="Roboto" w:hAnsi="Roboto"/>
                <w:b/>
              </w:rPr>
            </w:pPr>
            <w:r w:rsidRPr="004E0E1B">
              <w:rPr>
                <w:rFonts w:ascii="Roboto" w:hAnsi="Roboto"/>
                <w:b/>
              </w:rPr>
              <w:t>Registered a</w:t>
            </w:r>
            <w:r w:rsidR="00D63A4F" w:rsidRPr="004E0E1B">
              <w:rPr>
                <w:rFonts w:ascii="Roboto" w:hAnsi="Roboto"/>
                <w:b/>
              </w:rPr>
              <w:t>ddress:</w:t>
            </w:r>
          </w:p>
        </w:tc>
        <w:sdt>
          <w:sdtPr>
            <w:rPr>
              <w:rStyle w:val="PlaceholderText"/>
              <w:rFonts w:ascii="Roboto" w:hAnsi="Roboto"/>
            </w:rPr>
            <w:id w:val="-451479244"/>
            <w:placeholder>
              <w:docPart w:val="DefaultPlaceholder_-1854013440"/>
            </w:placeholder>
          </w:sdtPr>
          <w:sdtContent>
            <w:tc>
              <w:tcPr>
                <w:tcW w:w="3679" w:type="dxa"/>
              </w:tcPr>
              <w:p w14:paraId="1FD3329C" w14:textId="52E6926B" w:rsidR="00D63A4F"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405940" w:rsidRPr="004E0E1B" w14:paraId="4F8FC468" w14:textId="77777777" w:rsidTr="004362DF">
        <w:trPr>
          <w:trHeight w:val="20"/>
        </w:trPr>
        <w:tc>
          <w:tcPr>
            <w:tcW w:w="5382" w:type="dxa"/>
          </w:tcPr>
          <w:p w14:paraId="0AC4F3C1" w14:textId="77777777" w:rsidR="00D63A4F" w:rsidRPr="004E0E1B" w:rsidRDefault="00D63A4F" w:rsidP="00CA7902">
            <w:pPr>
              <w:rPr>
                <w:rFonts w:ascii="Roboto" w:hAnsi="Roboto"/>
                <w:b/>
              </w:rPr>
            </w:pPr>
            <w:r w:rsidRPr="004E0E1B">
              <w:rPr>
                <w:rFonts w:ascii="Roboto" w:hAnsi="Roboto"/>
                <w:b/>
              </w:rPr>
              <w:t>Full name of senior person applying for the exemption:</w:t>
            </w:r>
          </w:p>
        </w:tc>
        <w:sdt>
          <w:sdtPr>
            <w:rPr>
              <w:rStyle w:val="PlaceholderText"/>
              <w:rFonts w:ascii="Roboto" w:hAnsi="Roboto"/>
            </w:rPr>
            <w:id w:val="-1527549617"/>
            <w:placeholder>
              <w:docPart w:val="DefaultPlaceholder_-1854013440"/>
            </w:placeholder>
          </w:sdtPr>
          <w:sdtContent>
            <w:tc>
              <w:tcPr>
                <w:tcW w:w="3679" w:type="dxa"/>
              </w:tcPr>
              <w:p w14:paraId="40C7E457" w14:textId="73EC7CBD" w:rsidR="00D63A4F"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405940" w:rsidRPr="004E0E1B" w14:paraId="70D513E7" w14:textId="77777777" w:rsidTr="004362DF">
        <w:trPr>
          <w:trHeight w:val="20"/>
        </w:trPr>
        <w:tc>
          <w:tcPr>
            <w:tcW w:w="5382" w:type="dxa"/>
          </w:tcPr>
          <w:p w14:paraId="596EABB6" w14:textId="77777777" w:rsidR="00D63A4F" w:rsidRPr="004E0E1B" w:rsidRDefault="00D63A4F" w:rsidP="00CA7902">
            <w:pPr>
              <w:rPr>
                <w:rFonts w:ascii="Roboto" w:hAnsi="Roboto"/>
                <w:b/>
              </w:rPr>
            </w:pPr>
            <w:r w:rsidRPr="004E0E1B">
              <w:rPr>
                <w:rFonts w:ascii="Roboto" w:hAnsi="Roboto"/>
                <w:b/>
              </w:rPr>
              <w:t>Position:</w:t>
            </w:r>
          </w:p>
        </w:tc>
        <w:sdt>
          <w:sdtPr>
            <w:rPr>
              <w:rStyle w:val="PlaceholderText"/>
              <w:rFonts w:ascii="Roboto" w:hAnsi="Roboto"/>
            </w:rPr>
            <w:id w:val="-230238966"/>
            <w:placeholder>
              <w:docPart w:val="DefaultPlaceholder_-1854013440"/>
            </w:placeholder>
          </w:sdtPr>
          <w:sdtContent>
            <w:tc>
              <w:tcPr>
                <w:tcW w:w="3679" w:type="dxa"/>
              </w:tcPr>
              <w:p w14:paraId="05BE4E78" w14:textId="1893CCC7" w:rsidR="00D63A4F"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405940" w:rsidRPr="004E0E1B" w14:paraId="09286D1A" w14:textId="77777777" w:rsidTr="004362DF">
        <w:trPr>
          <w:trHeight w:val="20"/>
        </w:trPr>
        <w:tc>
          <w:tcPr>
            <w:tcW w:w="5382" w:type="dxa"/>
          </w:tcPr>
          <w:p w14:paraId="39697B9B" w14:textId="77777777" w:rsidR="00D63A4F" w:rsidRPr="004E0E1B" w:rsidRDefault="00D63A4F" w:rsidP="00CA7902">
            <w:pPr>
              <w:rPr>
                <w:rFonts w:ascii="Roboto" w:hAnsi="Roboto"/>
                <w:b/>
              </w:rPr>
            </w:pPr>
            <w:r w:rsidRPr="004E0E1B">
              <w:rPr>
                <w:rFonts w:ascii="Roboto" w:hAnsi="Roboto"/>
                <w:b/>
              </w:rPr>
              <w:t>E-mail:</w:t>
            </w:r>
          </w:p>
        </w:tc>
        <w:sdt>
          <w:sdtPr>
            <w:rPr>
              <w:rStyle w:val="PlaceholderText"/>
              <w:rFonts w:ascii="Roboto" w:hAnsi="Roboto"/>
            </w:rPr>
            <w:id w:val="-249733442"/>
            <w:placeholder>
              <w:docPart w:val="DefaultPlaceholder_-1854013440"/>
            </w:placeholder>
          </w:sdtPr>
          <w:sdtContent>
            <w:tc>
              <w:tcPr>
                <w:tcW w:w="3679" w:type="dxa"/>
              </w:tcPr>
              <w:p w14:paraId="1EB7B85C" w14:textId="23F13BC9" w:rsidR="00D63A4F"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405940" w:rsidRPr="004E0E1B" w14:paraId="7125C595" w14:textId="77777777" w:rsidTr="004362DF">
        <w:trPr>
          <w:trHeight w:val="20"/>
        </w:trPr>
        <w:tc>
          <w:tcPr>
            <w:tcW w:w="5382" w:type="dxa"/>
          </w:tcPr>
          <w:p w14:paraId="6EEE4374" w14:textId="77777777" w:rsidR="00D63A4F" w:rsidRPr="004E0E1B" w:rsidRDefault="00CA7902" w:rsidP="00CA7902">
            <w:pPr>
              <w:rPr>
                <w:rFonts w:ascii="Roboto" w:hAnsi="Roboto"/>
                <w:b/>
              </w:rPr>
            </w:pPr>
            <w:r w:rsidRPr="004E0E1B">
              <w:rPr>
                <w:rFonts w:ascii="Roboto" w:hAnsi="Roboto"/>
                <w:b/>
              </w:rPr>
              <w:t>Telephone number:</w:t>
            </w:r>
          </w:p>
        </w:tc>
        <w:sdt>
          <w:sdtPr>
            <w:rPr>
              <w:rStyle w:val="PlaceholderText"/>
              <w:rFonts w:ascii="Roboto" w:hAnsi="Roboto"/>
            </w:rPr>
            <w:id w:val="372279092"/>
            <w:placeholder>
              <w:docPart w:val="DefaultPlaceholder_-1854013440"/>
            </w:placeholder>
          </w:sdtPr>
          <w:sdtContent>
            <w:tc>
              <w:tcPr>
                <w:tcW w:w="3679" w:type="dxa"/>
              </w:tcPr>
              <w:p w14:paraId="459E9E25" w14:textId="46D8ED67" w:rsidR="00D63A4F" w:rsidRPr="004E0E1B" w:rsidRDefault="00405940" w:rsidP="00CA7902">
                <w:pPr>
                  <w:rPr>
                    <w:rFonts w:ascii="Roboto" w:hAnsi="Roboto"/>
                  </w:rPr>
                </w:pPr>
                <w:r w:rsidRPr="004E0E1B">
                  <w:rPr>
                    <w:rStyle w:val="PlaceholderText"/>
                    <w:rFonts w:ascii="Roboto" w:hAnsi="Roboto"/>
                  </w:rPr>
                  <w:t>Click or tap here to enter text.</w:t>
                </w:r>
              </w:p>
            </w:tc>
          </w:sdtContent>
        </w:sdt>
      </w:tr>
    </w:tbl>
    <w:p w14:paraId="11A06750" w14:textId="77777777" w:rsidR="00D63A4F" w:rsidRPr="004E0E1B" w:rsidRDefault="00D63A4F" w:rsidP="001A3F35">
      <w:pPr>
        <w:rPr>
          <w:rFonts w:ascii="Roboto" w:hAnsi="Roboto"/>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79"/>
      </w:tblGrid>
      <w:tr w:rsidR="00CA7902" w:rsidRPr="004E0E1B" w14:paraId="04706457" w14:textId="77777777" w:rsidTr="004362DF">
        <w:trPr>
          <w:trHeight w:val="507"/>
        </w:trPr>
        <w:tc>
          <w:tcPr>
            <w:tcW w:w="9061" w:type="dxa"/>
            <w:gridSpan w:val="2"/>
            <w:shd w:val="clear" w:color="auto" w:fill="0B1A34"/>
            <w:vAlign w:val="bottom"/>
          </w:tcPr>
          <w:p w14:paraId="6965E0DD" w14:textId="77777777" w:rsidR="00CA7902" w:rsidRPr="004E0E1B" w:rsidRDefault="00CA7902" w:rsidP="004362DF">
            <w:pPr>
              <w:jc w:val="left"/>
              <w:rPr>
                <w:rFonts w:ascii="Roboto" w:hAnsi="Roboto"/>
                <w:color w:val="FFFFFF"/>
              </w:rPr>
            </w:pPr>
            <w:r w:rsidRPr="004E0E1B">
              <w:rPr>
                <w:rFonts w:ascii="Roboto" w:hAnsi="Roboto"/>
                <w:color w:val="FFFFFF"/>
              </w:rPr>
              <w:t>Intragroup Counterparty Details</w:t>
            </w:r>
          </w:p>
        </w:tc>
      </w:tr>
      <w:tr w:rsidR="00CA7902" w:rsidRPr="004E0E1B" w14:paraId="6D2F0546" w14:textId="77777777" w:rsidTr="004362DF">
        <w:trPr>
          <w:trHeight w:val="20"/>
        </w:trPr>
        <w:tc>
          <w:tcPr>
            <w:tcW w:w="5382" w:type="dxa"/>
          </w:tcPr>
          <w:p w14:paraId="66C62037" w14:textId="77777777" w:rsidR="00CA7902" w:rsidRPr="004E0E1B" w:rsidRDefault="00CA7902" w:rsidP="00710E48">
            <w:pPr>
              <w:rPr>
                <w:rFonts w:ascii="Roboto" w:hAnsi="Roboto"/>
                <w:b/>
              </w:rPr>
            </w:pPr>
            <w:r w:rsidRPr="004E0E1B">
              <w:rPr>
                <w:rFonts w:ascii="Roboto" w:hAnsi="Roboto"/>
                <w:b/>
              </w:rPr>
              <w:t>Full name of the intragroup counterparty:</w:t>
            </w:r>
          </w:p>
        </w:tc>
        <w:sdt>
          <w:sdtPr>
            <w:rPr>
              <w:rStyle w:val="PlaceholderText"/>
              <w:rFonts w:ascii="Roboto" w:hAnsi="Roboto"/>
            </w:rPr>
            <w:id w:val="-330989032"/>
            <w:placeholder>
              <w:docPart w:val="DefaultPlaceholder_-1854013440"/>
            </w:placeholder>
          </w:sdtPr>
          <w:sdtEndPr>
            <w:rPr>
              <w:rStyle w:val="DefaultParagraphFont"/>
              <w:color w:val="auto"/>
            </w:rPr>
          </w:sdtEndPr>
          <w:sdtContent>
            <w:tc>
              <w:tcPr>
                <w:tcW w:w="3679" w:type="dxa"/>
              </w:tcPr>
              <w:p w14:paraId="59CECA2D" w14:textId="1ADB9D03" w:rsidR="00CA7902" w:rsidRPr="004E0E1B" w:rsidRDefault="00405940" w:rsidP="00CA7902">
                <w:pPr>
                  <w:rPr>
                    <w:rFonts w:ascii="Roboto" w:hAnsi="Roboto"/>
                  </w:rPr>
                </w:pPr>
                <w:r w:rsidRPr="004E0E1B">
                  <w:rPr>
                    <w:rStyle w:val="PlaceholderText"/>
                    <w:rFonts w:ascii="Roboto" w:hAnsi="Roboto"/>
                  </w:rPr>
                  <w:t>Click or tap here to enter text.</w:t>
                </w:r>
                <w:r w:rsidRPr="004E0E1B">
                  <w:rPr>
                    <w:rFonts w:ascii="Roboto" w:hAnsi="Roboto"/>
                  </w:rPr>
                  <w:fldChar w:fldCharType="begin"/>
                </w:r>
                <w:r w:rsidRPr="004E0E1B">
                  <w:rPr>
                    <w:rFonts w:ascii="Roboto" w:hAnsi="Roboto"/>
                  </w:rPr>
                  <w:instrText xml:space="preserve"> FILLIN   \* MERGEFORMAT </w:instrText>
                </w:r>
                <w:r w:rsidRPr="004E0E1B">
                  <w:rPr>
                    <w:rFonts w:ascii="Roboto" w:hAnsi="Roboto"/>
                  </w:rPr>
                  <w:fldChar w:fldCharType="end"/>
                </w:r>
              </w:p>
            </w:tc>
          </w:sdtContent>
        </w:sdt>
      </w:tr>
      <w:tr w:rsidR="00CA7902" w:rsidRPr="004E0E1B" w14:paraId="0941BC4B" w14:textId="77777777" w:rsidTr="004362DF">
        <w:trPr>
          <w:trHeight w:val="20"/>
        </w:trPr>
        <w:tc>
          <w:tcPr>
            <w:tcW w:w="5382" w:type="dxa"/>
          </w:tcPr>
          <w:p w14:paraId="3FEA41F8" w14:textId="77777777" w:rsidR="00CA7902" w:rsidRPr="004E0E1B" w:rsidRDefault="00CA7902" w:rsidP="00CA7902">
            <w:pPr>
              <w:rPr>
                <w:rFonts w:ascii="Roboto" w:hAnsi="Roboto"/>
                <w:b/>
              </w:rPr>
            </w:pPr>
            <w:r w:rsidRPr="004E0E1B">
              <w:rPr>
                <w:rFonts w:ascii="Roboto" w:hAnsi="Roboto"/>
                <w:b/>
              </w:rPr>
              <w:t>Country of establishment:</w:t>
            </w:r>
          </w:p>
        </w:tc>
        <w:sdt>
          <w:sdtPr>
            <w:rPr>
              <w:rStyle w:val="PlaceholderText"/>
              <w:rFonts w:ascii="Roboto" w:hAnsi="Roboto"/>
            </w:rPr>
            <w:id w:val="-973203604"/>
            <w:placeholder>
              <w:docPart w:val="DefaultPlaceholder_-1854013440"/>
            </w:placeholder>
          </w:sdtPr>
          <w:sdtContent>
            <w:tc>
              <w:tcPr>
                <w:tcW w:w="3679" w:type="dxa"/>
              </w:tcPr>
              <w:p w14:paraId="18F1A488" w14:textId="1BCB581B" w:rsidR="00CA7902"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CA7902" w:rsidRPr="004E0E1B" w14:paraId="70E13C87" w14:textId="77777777" w:rsidTr="004362DF">
        <w:trPr>
          <w:trHeight w:val="20"/>
        </w:trPr>
        <w:tc>
          <w:tcPr>
            <w:tcW w:w="5382" w:type="dxa"/>
          </w:tcPr>
          <w:p w14:paraId="39E13647" w14:textId="77777777" w:rsidR="00CA7902" w:rsidRPr="004E0E1B" w:rsidRDefault="00CA7902" w:rsidP="00CA7902">
            <w:pPr>
              <w:rPr>
                <w:rFonts w:ascii="Roboto" w:hAnsi="Roboto"/>
                <w:b/>
              </w:rPr>
            </w:pPr>
            <w:r w:rsidRPr="004E0E1B">
              <w:rPr>
                <w:rFonts w:ascii="Roboto" w:hAnsi="Roboto"/>
                <w:b/>
              </w:rPr>
              <w:t>The intragroup counterparty is:</w:t>
            </w:r>
          </w:p>
        </w:tc>
        <w:sdt>
          <w:sdtPr>
            <w:rPr>
              <w:rStyle w:val="PlaceholderText"/>
              <w:rFonts w:ascii="Roboto" w:hAnsi="Roboto"/>
            </w:rPr>
            <w:id w:val="2098821895"/>
            <w:placeholder>
              <w:docPart w:val="DefaultPlaceholder_-1854013440"/>
            </w:placeholder>
          </w:sdtPr>
          <w:sdtContent>
            <w:tc>
              <w:tcPr>
                <w:tcW w:w="3679" w:type="dxa"/>
              </w:tcPr>
              <w:p w14:paraId="0FEC2201" w14:textId="448F0A59" w:rsidR="00CA7902"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CA7902" w:rsidRPr="004E0E1B" w14:paraId="47E24E10" w14:textId="77777777" w:rsidTr="004362DF">
        <w:trPr>
          <w:trHeight w:val="1759"/>
        </w:trPr>
        <w:tc>
          <w:tcPr>
            <w:tcW w:w="5382" w:type="dxa"/>
          </w:tcPr>
          <w:p w14:paraId="0BDC01C7" w14:textId="77777777" w:rsidR="00CA7902" w:rsidRPr="004E0E1B" w:rsidRDefault="00CA7902" w:rsidP="00CA7902">
            <w:pPr>
              <w:rPr>
                <w:rFonts w:ascii="Roboto" w:hAnsi="Roboto"/>
                <w:b/>
              </w:rPr>
            </w:pPr>
            <w:r w:rsidRPr="004E0E1B">
              <w:rPr>
                <w:rFonts w:ascii="Roboto" w:hAnsi="Roboto"/>
                <w:b/>
              </w:rPr>
              <w:t>Registered address:</w:t>
            </w:r>
          </w:p>
        </w:tc>
        <w:sdt>
          <w:sdtPr>
            <w:rPr>
              <w:rStyle w:val="PlaceholderText"/>
              <w:rFonts w:ascii="Roboto" w:hAnsi="Roboto"/>
            </w:rPr>
            <w:id w:val="1727250983"/>
            <w:placeholder>
              <w:docPart w:val="DefaultPlaceholder_-1854013440"/>
            </w:placeholder>
          </w:sdtPr>
          <w:sdtContent>
            <w:tc>
              <w:tcPr>
                <w:tcW w:w="3679" w:type="dxa"/>
              </w:tcPr>
              <w:p w14:paraId="123CF727" w14:textId="496E9C94" w:rsidR="00CA7902"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CA7902" w:rsidRPr="004E0E1B" w14:paraId="414B88E6" w14:textId="77777777" w:rsidTr="004362DF">
        <w:trPr>
          <w:trHeight w:val="20"/>
        </w:trPr>
        <w:tc>
          <w:tcPr>
            <w:tcW w:w="5382" w:type="dxa"/>
          </w:tcPr>
          <w:p w14:paraId="4FD98CCF" w14:textId="77777777" w:rsidR="00CA7902" w:rsidRPr="004E0E1B" w:rsidRDefault="00CA7902" w:rsidP="00CA7902">
            <w:pPr>
              <w:rPr>
                <w:rFonts w:ascii="Roboto" w:hAnsi="Roboto"/>
                <w:b/>
              </w:rPr>
            </w:pPr>
            <w:r w:rsidRPr="004E0E1B">
              <w:rPr>
                <w:rFonts w:ascii="Roboto" w:hAnsi="Roboto"/>
                <w:b/>
              </w:rPr>
              <w:t>Legal Entity Identifier (LEI):</w:t>
            </w:r>
          </w:p>
        </w:tc>
        <w:sdt>
          <w:sdtPr>
            <w:rPr>
              <w:rStyle w:val="PlaceholderText"/>
              <w:rFonts w:ascii="Roboto" w:hAnsi="Roboto"/>
            </w:rPr>
            <w:id w:val="-1092075534"/>
            <w:placeholder>
              <w:docPart w:val="DefaultPlaceholder_-1854013440"/>
            </w:placeholder>
          </w:sdtPr>
          <w:sdtContent>
            <w:tc>
              <w:tcPr>
                <w:tcW w:w="3679" w:type="dxa"/>
              </w:tcPr>
              <w:p w14:paraId="67FBC899" w14:textId="31DBFC8F" w:rsidR="00CA7902"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CA7902" w:rsidRPr="004E0E1B" w14:paraId="53114DA6" w14:textId="77777777" w:rsidTr="004362DF">
        <w:trPr>
          <w:trHeight w:val="20"/>
        </w:trPr>
        <w:tc>
          <w:tcPr>
            <w:tcW w:w="5382" w:type="dxa"/>
          </w:tcPr>
          <w:p w14:paraId="09CFA7F0" w14:textId="602DC42E" w:rsidR="00CA7902" w:rsidRPr="004E0E1B" w:rsidRDefault="00CA7902" w:rsidP="00CA7902">
            <w:pPr>
              <w:rPr>
                <w:rFonts w:ascii="Roboto" w:hAnsi="Roboto"/>
                <w:b/>
              </w:rPr>
            </w:pPr>
            <w:r w:rsidRPr="004E0E1B">
              <w:rPr>
                <w:rFonts w:ascii="Roboto" w:hAnsi="Roboto"/>
                <w:b/>
              </w:rPr>
              <w:t>Client code (e</w:t>
            </w:r>
            <w:r w:rsidR="0001284B">
              <w:rPr>
                <w:rFonts w:ascii="Roboto" w:hAnsi="Roboto"/>
                <w:b/>
              </w:rPr>
              <w:t>.</w:t>
            </w:r>
            <w:r w:rsidRPr="004E0E1B">
              <w:rPr>
                <w:rFonts w:ascii="Roboto" w:hAnsi="Roboto"/>
                <w:b/>
              </w:rPr>
              <w:t>g.</w:t>
            </w:r>
            <w:r w:rsidR="0001284B">
              <w:rPr>
                <w:rFonts w:ascii="Roboto" w:hAnsi="Roboto"/>
                <w:b/>
              </w:rPr>
              <w:t>,</w:t>
            </w:r>
            <w:r w:rsidRPr="004E0E1B">
              <w:rPr>
                <w:rFonts w:ascii="Roboto" w:hAnsi="Roboto"/>
                <w:b/>
              </w:rPr>
              <w:t xml:space="preserve"> Licence No / Registration No)</w:t>
            </w:r>
          </w:p>
        </w:tc>
        <w:sdt>
          <w:sdtPr>
            <w:rPr>
              <w:rStyle w:val="PlaceholderText"/>
              <w:rFonts w:ascii="Roboto" w:hAnsi="Roboto"/>
            </w:rPr>
            <w:id w:val="-245576222"/>
            <w:placeholder>
              <w:docPart w:val="DefaultPlaceholder_-1854013440"/>
            </w:placeholder>
          </w:sdtPr>
          <w:sdtContent>
            <w:tc>
              <w:tcPr>
                <w:tcW w:w="3679" w:type="dxa"/>
              </w:tcPr>
              <w:p w14:paraId="7E6A677E" w14:textId="0D9A6F5C" w:rsidR="00CA7902" w:rsidRPr="004E0E1B" w:rsidRDefault="00405940" w:rsidP="00CA7902">
                <w:pPr>
                  <w:rPr>
                    <w:rFonts w:ascii="Roboto" w:hAnsi="Roboto"/>
                  </w:rPr>
                </w:pPr>
                <w:r w:rsidRPr="004E0E1B">
                  <w:rPr>
                    <w:rStyle w:val="PlaceholderText"/>
                    <w:rFonts w:ascii="Roboto" w:hAnsi="Roboto"/>
                  </w:rPr>
                  <w:t>Click or tap here to enter text.</w:t>
                </w:r>
              </w:p>
            </w:tc>
          </w:sdtContent>
        </w:sdt>
      </w:tr>
    </w:tbl>
    <w:p w14:paraId="053E482F" w14:textId="77777777" w:rsidR="00CA7902" w:rsidRPr="004E0E1B" w:rsidRDefault="00CA7902">
      <w:pPr>
        <w:spacing w:after="160" w:line="259" w:lineRule="auto"/>
        <w:jc w:val="left"/>
        <w:rPr>
          <w:rFonts w:ascii="Roboto" w:hAnsi="Roboto"/>
        </w:rPr>
      </w:pPr>
      <w:r w:rsidRPr="004E0E1B">
        <w:rPr>
          <w:rFonts w:ascii="Roboto" w:hAnsi="Roboto"/>
        </w:rPr>
        <w:br w:type="page"/>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79"/>
      </w:tblGrid>
      <w:tr w:rsidR="00CA7902" w:rsidRPr="004E0E1B" w14:paraId="2F544F1F" w14:textId="77777777" w:rsidTr="004362DF">
        <w:trPr>
          <w:trHeight w:val="507"/>
        </w:trPr>
        <w:tc>
          <w:tcPr>
            <w:tcW w:w="9061" w:type="dxa"/>
            <w:gridSpan w:val="2"/>
            <w:shd w:val="clear" w:color="auto" w:fill="0B1A34"/>
            <w:vAlign w:val="bottom"/>
          </w:tcPr>
          <w:p w14:paraId="4163DE4F" w14:textId="77777777" w:rsidR="00CA7902" w:rsidRPr="004E0E1B" w:rsidRDefault="00CA7902" w:rsidP="004362DF">
            <w:pPr>
              <w:jc w:val="left"/>
              <w:rPr>
                <w:rFonts w:ascii="Roboto" w:hAnsi="Roboto"/>
                <w:color w:val="FFFFFF"/>
              </w:rPr>
            </w:pPr>
            <w:r w:rsidRPr="004E0E1B">
              <w:rPr>
                <w:rFonts w:ascii="Roboto" w:hAnsi="Roboto"/>
                <w:color w:val="FFFFFF"/>
              </w:rPr>
              <w:lastRenderedPageBreak/>
              <w:t>Other details</w:t>
            </w:r>
          </w:p>
        </w:tc>
      </w:tr>
      <w:tr w:rsidR="00CA7902" w:rsidRPr="004E0E1B" w14:paraId="2BA9B839" w14:textId="77777777" w:rsidTr="004362DF">
        <w:trPr>
          <w:trHeight w:val="20"/>
        </w:trPr>
        <w:tc>
          <w:tcPr>
            <w:tcW w:w="5382" w:type="dxa"/>
            <w:vAlign w:val="center"/>
          </w:tcPr>
          <w:p w14:paraId="506C2A9B" w14:textId="5F39F152" w:rsidR="00CA7902" w:rsidRPr="004E0E1B" w:rsidRDefault="00CA7902" w:rsidP="00CA7902">
            <w:pPr>
              <w:rPr>
                <w:rFonts w:ascii="Roboto" w:hAnsi="Roboto"/>
                <w:b/>
              </w:rPr>
            </w:pPr>
            <w:r w:rsidRPr="004E0E1B">
              <w:rPr>
                <w:rFonts w:ascii="Roboto" w:hAnsi="Roboto"/>
                <w:b/>
              </w:rPr>
              <w:t xml:space="preserve">Has the intragroup counterparty </w:t>
            </w:r>
            <w:r w:rsidR="00780373" w:rsidRPr="004E0E1B">
              <w:rPr>
                <w:rFonts w:ascii="Roboto" w:hAnsi="Roboto"/>
                <w:b/>
              </w:rPr>
              <w:t>submitted,</w:t>
            </w:r>
            <w:r w:rsidRPr="004E0E1B">
              <w:rPr>
                <w:rFonts w:ascii="Roboto" w:hAnsi="Roboto"/>
                <w:b/>
              </w:rPr>
              <w:t xml:space="preserve"> or does it intend to submit a notification or application for exemption?</w:t>
            </w:r>
          </w:p>
        </w:tc>
        <w:sdt>
          <w:sdtPr>
            <w:rPr>
              <w:rStyle w:val="PlaceholderText"/>
              <w:rFonts w:ascii="Roboto" w:hAnsi="Roboto"/>
            </w:rPr>
            <w:id w:val="-1126149570"/>
            <w:placeholder>
              <w:docPart w:val="DefaultPlaceholder_-1854013440"/>
            </w:placeholder>
          </w:sdtPr>
          <w:sdtContent>
            <w:tc>
              <w:tcPr>
                <w:tcW w:w="3679" w:type="dxa"/>
              </w:tcPr>
              <w:p w14:paraId="60AB6E0C" w14:textId="27255669" w:rsidR="00CA7902"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CA7902" w:rsidRPr="004E0E1B" w14:paraId="260B4C6F" w14:textId="77777777" w:rsidTr="004362DF">
        <w:trPr>
          <w:trHeight w:val="20"/>
        </w:trPr>
        <w:tc>
          <w:tcPr>
            <w:tcW w:w="5382" w:type="dxa"/>
            <w:vAlign w:val="center"/>
          </w:tcPr>
          <w:p w14:paraId="290D31D5" w14:textId="77777777" w:rsidR="00CA7902" w:rsidRPr="004E0E1B" w:rsidRDefault="00CA7902" w:rsidP="00CA7902">
            <w:pPr>
              <w:rPr>
                <w:rFonts w:ascii="Roboto" w:hAnsi="Roboto"/>
                <w:b/>
              </w:rPr>
            </w:pPr>
            <w:r w:rsidRPr="004E0E1B">
              <w:rPr>
                <w:rFonts w:ascii="Roboto" w:hAnsi="Roboto"/>
                <w:b/>
              </w:rPr>
              <w:t>Please indicate the submission date for the intragroup counterparty's notification.</w:t>
            </w:r>
          </w:p>
        </w:tc>
        <w:sdt>
          <w:sdtPr>
            <w:rPr>
              <w:rStyle w:val="PlaceholderText"/>
              <w:rFonts w:ascii="Roboto" w:hAnsi="Roboto"/>
            </w:rPr>
            <w:id w:val="-1212336544"/>
            <w:placeholder>
              <w:docPart w:val="DefaultPlaceholder_-1854013440"/>
            </w:placeholder>
          </w:sdtPr>
          <w:sdtContent>
            <w:tc>
              <w:tcPr>
                <w:tcW w:w="3679" w:type="dxa"/>
              </w:tcPr>
              <w:p w14:paraId="7A3D8B06" w14:textId="6C8F98A0" w:rsidR="00CA7902" w:rsidRPr="004E0E1B" w:rsidRDefault="00405940" w:rsidP="00CA7902">
                <w:pPr>
                  <w:rPr>
                    <w:rFonts w:ascii="Roboto" w:hAnsi="Roboto"/>
                  </w:rPr>
                </w:pPr>
                <w:r w:rsidRPr="004E0E1B">
                  <w:rPr>
                    <w:rStyle w:val="PlaceholderText"/>
                    <w:rFonts w:ascii="Roboto" w:hAnsi="Roboto"/>
                  </w:rPr>
                  <w:t>Click or tap here to enter text.</w:t>
                </w:r>
              </w:p>
            </w:tc>
          </w:sdtContent>
        </w:sdt>
      </w:tr>
      <w:tr w:rsidR="00405940" w:rsidRPr="004E0E1B" w14:paraId="35A946C6" w14:textId="77777777" w:rsidTr="004362DF">
        <w:trPr>
          <w:trHeight w:val="20"/>
        </w:trPr>
        <w:tc>
          <w:tcPr>
            <w:tcW w:w="5382" w:type="dxa"/>
            <w:vAlign w:val="center"/>
          </w:tcPr>
          <w:p w14:paraId="1A7FFD7E" w14:textId="77777777" w:rsidR="00405940" w:rsidRPr="004E0E1B" w:rsidRDefault="00405940" w:rsidP="00405940">
            <w:pPr>
              <w:rPr>
                <w:rFonts w:ascii="Roboto" w:hAnsi="Roboto"/>
                <w:b/>
              </w:rPr>
            </w:pPr>
            <w:r w:rsidRPr="004E0E1B">
              <w:rPr>
                <w:rFonts w:ascii="Roboto" w:hAnsi="Roboto"/>
                <w:b/>
              </w:rPr>
              <w:t>Kindly name the intragroup counterparty's National Competent Authority.</w:t>
            </w:r>
          </w:p>
        </w:tc>
        <w:sdt>
          <w:sdtPr>
            <w:rPr>
              <w:rStyle w:val="PlaceholderText"/>
              <w:rFonts w:ascii="Roboto" w:hAnsi="Roboto"/>
            </w:rPr>
            <w:id w:val="115114669"/>
            <w:placeholder>
              <w:docPart w:val="DefaultPlaceholder_-1854013440"/>
            </w:placeholder>
          </w:sdtPr>
          <w:sdtContent>
            <w:tc>
              <w:tcPr>
                <w:tcW w:w="3679" w:type="dxa"/>
              </w:tcPr>
              <w:p w14:paraId="3B2C82F8" w14:textId="3ACDC795" w:rsidR="00405940" w:rsidRPr="004E0E1B" w:rsidRDefault="00405940" w:rsidP="00405940">
                <w:pPr>
                  <w:rPr>
                    <w:rFonts w:ascii="Roboto" w:hAnsi="Roboto"/>
                  </w:rPr>
                </w:pPr>
                <w:r w:rsidRPr="004E0E1B">
                  <w:rPr>
                    <w:rStyle w:val="PlaceholderText"/>
                    <w:rFonts w:ascii="Roboto" w:hAnsi="Roboto"/>
                  </w:rPr>
                  <w:t>Click or tap here to enter text.</w:t>
                </w:r>
              </w:p>
            </w:tc>
          </w:sdtContent>
        </w:sdt>
      </w:tr>
      <w:tr w:rsidR="00405940" w:rsidRPr="004E0E1B" w14:paraId="60082131" w14:textId="77777777" w:rsidTr="004362DF">
        <w:trPr>
          <w:trHeight w:val="20"/>
        </w:trPr>
        <w:tc>
          <w:tcPr>
            <w:tcW w:w="5382" w:type="dxa"/>
            <w:vAlign w:val="center"/>
          </w:tcPr>
          <w:p w14:paraId="3A0CFC3C" w14:textId="77777777" w:rsidR="00405940" w:rsidRPr="004E0E1B" w:rsidRDefault="00405940" w:rsidP="00405940">
            <w:pPr>
              <w:rPr>
                <w:rFonts w:ascii="Roboto" w:hAnsi="Roboto"/>
                <w:b/>
              </w:rPr>
            </w:pPr>
            <w:r w:rsidRPr="004E0E1B">
              <w:rPr>
                <w:rFonts w:ascii="Roboto" w:hAnsi="Roboto"/>
                <w:b/>
              </w:rPr>
              <w:t>Describe the corporate relationship between the two counterparties.</w:t>
            </w:r>
          </w:p>
        </w:tc>
        <w:sdt>
          <w:sdtPr>
            <w:rPr>
              <w:rStyle w:val="PlaceholderText"/>
              <w:rFonts w:ascii="Roboto" w:hAnsi="Roboto"/>
            </w:rPr>
            <w:id w:val="13974923"/>
            <w:placeholder>
              <w:docPart w:val="DefaultPlaceholder_-1854013440"/>
            </w:placeholder>
          </w:sdtPr>
          <w:sdtContent>
            <w:tc>
              <w:tcPr>
                <w:tcW w:w="3679" w:type="dxa"/>
              </w:tcPr>
              <w:p w14:paraId="1F356FA0" w14:textId="6B24DE23" w:rsidR="00405940" w:rsidRPr="004E0E1B" w:rsidRDefault="00405940" w:rsidP="00405940">
                <w:pPr>
                  <w:rPr>
                    <w:rFonts w:ascii="Roboto" w:hAnsi="Roboto"/>
                  </w:rPr>
                </w:pPr>
                <w:r w:rsidRPr="004E0E1B">
                  <w:rPr>
                    <w:rStyle w:val="PlaceholderText"/>
                    <w:rFonts w:ascii="Roboto" w:hAnsi="Roboto"/>
                  </w:rPr>
                  <w:t>Click or tap here to enter text.</w:t>
                </w:r>
              </w:p>
            </w:tc>
          </w:sdtContent>
        </w:sdt>
      </w:tr>
      <w:tr w:rsidR="00405940" w:rsidRPr="004E0E1B" w14:paraId="4867D6D0" w14:textId="77777777" w:rsidTr="004362DF">
        <w:trPr>
          <w:trHeight w:val="20"/>
        </w:trPr>
        <w:tc>
          <w:tcPr>
            <w:tcW w:w="5382" w:type="dxa"/>
            <w:vAlign w:val="center"/>
          </w:tcPr>
          <w:p w14:paraId="32EE4D5D" w14:textId="77777777" w:rsidR="00405940" w:rsidRPr="004E0E1B" w:rsidRDefault="00405940" w:rsidP="00405940">
            <w:pPr>
              <w:rPr>
                <w:rFonts w:ascii="Roboto" w:hAnsi="Roboto"/>
                <w:b/>
              </w:rPr>
            </w:pPr>
            <w:r w:rsidRPr="004E0E1B">
              <w:rPr>
                <w:rFonts w:ascii="Roboto" w:hAnsi="Roboto"/>
                <w:b/>
              </w:rPr>
              <w:t>Details of the supporting contractual relationships between the parties.</w:t>
            </w:r>
          </w:p>
        </w:tc>
        <w:sdt>
          <w:sdtPr>
            <w:rPr>
              <w:rStyle w:val="PlaceholderText"/>
              <w:rFonts w:ascii="Roboto" w:hAnsi="Roboto"/>
            </w:rPr>
            <w:id w:val="870810054"/>
            <w:placeholder>
              <w:docPart w:val="DefaultPlaceholder_-1854013440"/>
            </w:placeholder>
          </w:sdtPr>
          <w:sdtContent>
            <w:tc>
              <w:tcPr>
                <w:tcW w:w="3679" w:type="dxa"/>
              </w:tcPr>
              <w:p w14:paraId="7B1AA639" w14:textId="296EC7CE" w:rsidR="00405940" w:rsidRPr="004E0E1B" w:rsidRDefault="00405940" w:rsidP="00405940">
                <w:pPr>
                  <w:rPr>
                    <w:rFonts w:ascii="Roboto" w:hAnsi="Roboto"/>
                  </w:rPr>
                </w:pPr>
                <w:r w:rsidRPr="004E0E1B">
                  <w:rPr>
                    <w:rStyle w:val="PlaceholderText"/>
                    <w:rFonts w:ascii="Roboto" w:hAnsi="Roboto"/>
                  </w:rPr>
                  <w:t>Click or tap here to enter text.</w:t>
                </w:r>
              </w:p>
            </w:tc>
          </w:sdtContent>
        </w:sdt>
      </w:tr>
      <w:tr w:rsidR="00405940" w:rsidRPr="004E0E1B" w14:paraId="27A3245E" w14:textId="77777777" w:rsidTr="004362DF">
        <w:trPr>
          <w:trHeight w:val="20"/>
        </w:trPr>
        <w:tc>
          <w:tcPr>
            <w:tcW w:w="5382" w:type="dxa"/>
            <w:vAlign w:val="center"/>
          </w:tcPr>
          <w:p w14:paraId="52A8B803" w14:textId="19245C18" w:rsidR="00405940" w:rsidRPr="004E0E1B" w:rsidRDefault="00405940" w:rsidP="00405940">
            <w:pPr>
              <w:rPr>
                <w:rFonts w:ascii="Roboto" w:hAnsi="Roboto"/>
                <w:b/>
              </w:rPr>
            </w:pPr>
            <w:r w:rsidRPr="004E0E1B">
              <w:rPr>
                <w:rFonts w:ascii="Roboto" w:hAnsi="Roboto"/>
                <w:b/>
              </w:rPr>
              <w:t>Please explain the category of intragroup transaction taking place, as specified under Article 3(1) and Article 3(2) points (a) to (d) of EMIR</w:t>
            </w:r>
            <w:r w:rsidR="0001284B">
              <w:rPr>
                <w:rFonts w:ascii="Roboto" w:hAnsi="Roboto"/>
                <w:b/>
              </w:rPr>
              <w:t xml:space="preserve"> </w:t>
            </w:r>
            <w:r w:rsidR="0001284B" w:rsidRPr="00965E1D">
              <w:rPr>
                <w:rFonts w:ascii="Roboto" w:hAnsi="Roboto"/>
                <w:b/>
              </w:rPr>
              <w:t>as amended</w:t>
            </w:r>
            <w:r w:rsidRPr="004E0E1B">
              <w:rPr>
                <w:rFonts w:ascii="Roboto" w:hAnsi="Roboto"/>
                <w:b/>
              </w:rPr>
              <w:t>.</w:t>
            </w:r>
          </w:p>
        </w:tc>
        <w:sdt>
          <w:sdtPr>
            <w:rPr>
              <w:rStyle w:val="PlaceholderText"/>
              <w:rFonts w:ascii="Roboto" w:hAnsi="Roboto"/>
            </w:rPr>
            <w:id w:val="1655949223"/>
            <w:placeholder>
              <w:docPart w:val="DefaultPlaceholder_-1854013440"/>
            </w:placeholder>
          </w:sdtPr>
          <w:sdtContent>
            <w:tc>
              <w:tcPr>
                <w:tcW w:w="3679" w:type="dxa"/>
              </w:tcPr>
              <w:p w14:paraId="2DA82BC0" w14:textId="7683978D" w:rsidR="00405940" w:rsidRPr="004E0E1B" w:rsidRDefault="00405940" w:rsidP="00405940">
                <w:pPr>
                  <w:rPr>
                    <w:rFonts w:ascii="Roboto" w:hAnsi="Roboto"/>
                  </w:rPr>
                </w:pPr>
                <w:r w:rsidRPr="004E0E1B">
                  <w:rPr>
                    <w:rStyle w:val="PlaceholderText"/>
                    <w:rFonts w:ascii="Roboto" w:hAnsi="Roboto"/>
                  </w:rPr>
                  <w:t>Click or tap here to enter text.</w:t>
                </w:r>
              </w:p>
            </w:tc>
          </w:sdtContent>
        </w:sdt>
      </w:tr>
      <w:tr w:rsidR="00BF71A7" w:rsidRPr="004E0E1B" w14:paraId="1D2B9230" w14:textId="77777777" w:rsidTr="00E40608">
        <w:trPr>
          <w:trHeight w:val="20"/>
        </w:trPr>
        <w:tc>
          <w:tcPr>
            <w:tcW w:w="5382" w:type="dxa"/>
          </w:tcPr>
          <w:p w14:paraId="6D3B602B" w14:textId="1C8B212A" w:rsidR="004E3FB4" w:rsidRPr="004E3FB4" w:rsidRDefault="00BF71A7" w:rsidP="004E3FB4">
            <w:pPr>
              <w:rPr>
                <w:rFonts w:ascii="Roboto" w:hAnsi="Roboto"/>
                <w:b/>
              </w:rPr>
            </w:pPr>
            <w:r w:rsidRPr="004E0E1B">
              <w:rPr>
                <w:rFonts w:ascii="Roboto" w:hAnsi="Roboto"/>
                <w:b/>
              </w:rPr>
              <w:t xml:space="preserve">Where the intragroup counterparty is established in a third-country jurisdiction, </w:t>
            </w:r>
            <w:r w:rsidR="0001284B" w:rsidRPr="004E0E1B">
              <w:rPr>
                <w:rFonts w:ascii="Roboto" w:hAnsi="Roboto"/>
                <w:b/>
              </w:rPr>
              <w:t>provide:</w:t>
            </w:r>
          </w:p>
          <w:p w14:paraId="19E53355" w14:textId="092BDDFB" w:rsidR="004E3FB4" w:rsidRPr="00965E1D" w:rsidRDefault="004E3FB4" w:rsidP="00965E1D">
            <w:pPr>
              <w:pStyle w:val="ListParagraph"/>
              <w:numPr>
                <w:ilvl w:val="0"/>
                <w:numId w:val="45"/>
              </w:numPr>
              <w:rPr>
                <w:rFonts w:ascii="Roboto" w:hAnsi="Roboto"/>
                <w:b/>
              </w:rPr>
            </w:pPr>
            <w:r w:rsidRPr="00965E1D">
              <w:rPr>
                <w:rFonts w:ascii="Roboto" w:hAnsi="Roboto"/>
                <w:b/>
              </w:rPr>
              <w:t>the name of the jurisdiction;</w:t>
            </w:r>
          </w:p>
          <w:p w14:paraId="08EEFD81" w14:textId="38A684B2" w:rsidR="004E3FB4" w:rsidRPr="00965E1D" w:rsidRDefault="004E3FB4" w:rsidP="00965E1D">
            <w:pPr>
              <w:pStyle w:val="ListParagraph"/>
              <w:numPr>
                <w:ilvl w:val="0"/>
                <w:numId w:val="45"/>
              </w:numPr>
              <w:rPr>
                <w:rFonts w:ascii="Roboto" w:hAnsi="Roboto"/>
                <w:b/>
              </w:rPr>
            </w:pPr>
            <w:r w:rsidRPr="00965E1D">
              <w:rPr>
                <w:rFonts w:ascii="Roboto" w:hAnsi="Roboto"/>
                <w:b/>
              </w:rPr>
              <w:t>a legal assessment explaining how the applicable conditions under Article 3 of EMIR, as amended and in force, are satisfied; and</w:t>
            </w:r>
          </w:p>
          <w:p w14:paraId="15D31176" w14:textId="73AAF92C" w:rsidR="00BF71A7" w:rsidRPr="00965E1D" w:rsidRDefault="004E3FB4" w:rsidP="00965E1D">
            <w:pPr>
              <w:pStyle w:val="ListParagraph"/>
              <w:numPr>
                <w:ilvl w:val="0"/>
                <w:numId w:val="45"/>
              </w:numPr>
              <w:rPr>
                <w:rFonts w:ascii="Roboto" w:hAnsi="Roboto"/>
                <w:b/>
              </w:rPr>
            </w:pPr>
            <w:r w:rsidRPr="00965E1D">
              <w:rPr>
                <w:rFonts w:ascii="Roboto" w:hAnsi="Roboto"/>
                <w:b/>
              </w:rPr>
              <w:t>confirmation that no applicable jurisdictional restriction under the current EMIR framework prevents the use of the requested exemption.</w:t>
            </w:r>
          </w:p>
        </w:tc>
        <w:sdt>
          <w:sdtPr>
            <w:rPr>
              <w:rStyle w:val="PlaceholderText"/>
              <w:rFonts w:ascii="Roboto" w:hAnsi="Roboto"/>
            </w:rPr>
            <w:id w:val="-1401203364"/>
            <w:placeholder>
              <w:docPart w:val="DefaultPlaceholder_-1854013440"/>
            </w:placeholder>
          </w:sdtPr>
          <w:sdtContent>
            <w:tc>
              <w:tcPr>
                <w:tcW w:w="3679" w:type="dxa"/>
              </w:tcPr>
              <w:p w14:paraId="5D5190C4" w14:textId="7AD19B42" w:rsidR="00BF71A7" w:rsidRPr="004E0E1B" w:rsidRDefault="00BF71A7" w:rsidP="00E40608">
                <w:pPr>
                  <w:rPr>
                    <w:rStyle w:val="PlaceholderText"/>
                    <w:rFonts w:ascii="Roboto" w:hAnsi="Roboto"/>
                  </w:rPr>
                </w:pPr>
                <w:r w:rsidRPr="004E0E1B">
                  <w:rPr>
                    <w:rStyle w:val="PlaceholderText"/>
                    <w:rFonts w:ascii="Roboto" w:hAnsi="Roboto"/>
                  </w:rPr>
                  <w:t>Click or tap here to enter text.</w:t>
                </w:r>
              </w:p>
            </w:tc>
          </w:sdtContent>
        </w:sdt>
      </w:tr>
      <w:tr w:rsidR="00405940" w:rsidRPr="004E0E1B" w14:paraId="4D62C595" w14:textId="77777777" w:rsidTr="004362DF">
        <w:trPr>
          <w:trHeight w:val="20"/>
        </w:trPr>
        <w:tc>
          <w:tcPr>
            <w:tcW w:w="5382" w:type="dxa"/>
            <w:vAlign w:val="center"/>
          </w:tcPr>
          <w:p w14:paraId="38B6E5CB" w14:textId="463E9ED6" w:rsidR="00405940" w:rsidRPr="004E0E1B" w:rsidRDefault="00405940" w:rsidP="00405940">
            <w:pPr>
              <w:rPr>
                <w:rFonts w:ascii="Roboto" w:hAnsi="Roboto"/>
                <w:b/>
              </w:rPr>
            </w:pPr>
            <w:r w:rsidRPr="004E0E1B">
              <w:rPr>
                <w:rFonts w:ascii="Roboto" w:hAnsi="Roboto"/>
                <w:b/>
              </w:rPr>
              <w:t>Provide sufficient evidence demonstrating that both Counterparties are included in the same consolidation on a full basis as explained in the introduction to this form, and which is in line with Article 3(3) of EMIR</w:t>
            </w:r>
            <w:r w:rsidR="0001284B">
              <w:rPr>
                <w:rFonts w:ascii="Roboto" w:hAnsi="Roboto"/>
                <w:b/>
              </w:rPr>
              <w:t xml:space="preserve"> </w:t>
            </w:r>
            <w:r w:rsidR="0001284B" w:rsidRPr="00965E1D">
              <w:rPr>
                <w:rFonts w:ascii="Roboto" w:hAnsi="Roboto"/>
                <w:b/>
              </w:rPr>
              <w:t>as amended</w:t>
            </w:r>
            <w:r w:rsidRPr="004E0E1B">
              <w:rPr>
                <w:rFonts w:ascii="Roboto" w:hAnsi="Roboto"/>
                <w:b/>
              </w:rPr>
              <w:t>.</w:t>
            </w:r>
          </w:p>
        </w:tc>
        <w:sdt>
          <w:sdtPr>
            <w:rPr>
              <w:rStyle w:val="PlaceholderText"/>
              <w:rFonts w:ascii="Roboto" w:hAnsi="Roboto"/>
            </w:rPr>
            <w:id w:val="682326245"/>
            <w:placeholder>
              <w:docPart w:val="DefaultPlaceholder_-1854013440"/>
            </w:placeholder>
          </w:sdtPr>
          <w:sdtContent>
            <w:tc>
              <w:tcPr>
                <w:tcW w:w="3679" w:type="dxa"/>
              </w:tcPr>
              <w:p w14:paraId="5B9A66B3" w14:textId="3DA8EB40" w:rsidR="00405940" w:rsidRPr="004E0E1B" w:rsidRDefault="00405940" w:rsidP="00405940">
                <w:pPr>
                  <w:rPr>
                    <w:rFonts w:ascii="Roboto" w:hAnsi="Roboto"/>
                  </w:rPr>
                </w:pPr>
                <w:r w:rsidRPr="004E0E1B">
                  <w:rPr>
                    <w:rStyle w:val="PlaceholderText"/>
                    <w:rFonts w:ascii="Roboto" w:hAnsi="Roboto"/>
                  </w:rPr>
                  <w:t>Click or tap here to enter text.</w:t>
                </w:r>
              </w:p>
            </w:tc>
          </w:sdtContent>
        </w:sdt>
      </w:tr>
    </w:tbl>
    <w:p w14:paraId="6142B5D3" w14:textId="77777777" w:rsidR="00CA7902" w:rsidRPr="004E0E1B" w:rsidRDefault="00CA7902" w:rsidP="001A3F35">
      <w:pPr>
        <w:rPr>
          <w:rFonts w:ascii="Roboto" w:hAnsi="Roboto"/>
        </w:rPr>
      </w:pPr>
    </w:p>
    <w:p w14:paraId="5746518B" w14:textId="77777777" w:rsidR="00B4165A" w:rsidRPr="004E0E1B" w:rsidRDefault="00B4165A">
      <w:pPr>
        <w:spacing w:after="160" w:line="259" w:lineRule="auto"/>
        <w:jc w:val="left"/>
        <w:rPr>
          <w:rFonts w:ascii="Roboto" w:hAnsi="Roboto" w:cs="Poppins Light"/>
          <w:b/>
          <w:noProof/>
          <w:color w:val="0B1A34"/>
          <w:sz w:val="52"/>
          <w:szCs w:val="52"/>
          <w:lang w:eastAsia="en-GB"/>
        </w:rPr>
      </w:pPr>
      <w:r w:rsidRPr="004E0E1B">
        <w:rPr>
          <w:rFonts w:ascii="Roboto" w:hAnsi="Roboto"/>
        </w:rPr>
        <w:br w:type="page"/>
      </w:r>
    </w:p>
    <w:p w14:paraId="3FB31EEF" w14:textId="3B6A10E0" w:rsidR="00B4165A" w:rsidRPr="004E0E1B" w:rsidRDefault="005560EC" w:rsidP="00B4165A">
      <w:pPr>
        <w:pStyle w:val="Heading1"/>
        <w:rPr>
          <w:rFonts w:ascii="Roboto" w:hAnsi="Roboto"/>
        </w:rPr>
      </w:pPr>
      <w:r w:rsidRPr="004E0E1B">
        <w:rPr>
          <w:rFonts w:ascii="Roboto" w:hAnsi="Roboto"/>
        </w:rPr>
        <w:lastRenderedPageBreak/>
        <w:drawing>
          <wp:anchor distT="0" distB="0" distL="114300" distR="114300" simplePos="0" relativeHeight="251660800" behindDoc="0" locked="0" layoutInCell="1" allowOverlap="1" wp14:anchorId="0D52684C" wp14:editId="54C241FB">
            <wp:simplePos x="0" y="0"/>
            <wp:positionH relativeFrom="margin">
              <wp:posOffset>0</wp:posOffset>
            </wp:positionH>
            <wp:positionV relativeFrom="paragraph">
              <wp:posOffset>481330</wp:posOffset>
            </wp:positionV>
            <wp:extent cx="713740" cy="168275"/>
            <wp:effectExtent l="0" t="0" r="0" b="0"/>
            <wp:wrapThrough wrapText="bothSides">
              <wp:wrapPolygon edited="0">
                <wp:start x="0" y="0"/>
                <wp:lineTo x="0" y="19562"/>
                <wp:lineTo x="20754" y="19562"/>
                <wp:lineTo x="20754" y="0"/>
                <wp:lineTo x="0" y="0"/>
              </wp:wrapPolygon>
            </wp:wrapThrough>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l="11800" t="19539"/>
                    <a:stretch>
                      <a:fillRect/>
                    </a:stretch>
                  </pic:blipFill>
                  <pic:spPr bwMode="auto">
                    <a:xfrm>
                      <a:off x="0" y="0"/>
                      <a:ext cx="713740" cy="168275"/>
                    </a:xfrm>
                    <a:prstGeom prst="rect">
                      <a:avLst/>
                    </a:prstGeom>
                    <a:noFill/>
                  </pic:spPr>
                </pic:pic>
              </a:graphicData>
            </a:graphic>
            <wp14:sizeRelH relativeFrom="page">
              <wp14:pctWidth>0</wp14:pctWidth>
            </wp14:sizeRelH>
            <wp14:sizeRelV relativeFrom="page">
              <wp14:pctHeight>0</wp14:pctHeight>
            </wp14:sizeRelV>
          </wp:anchor>
        </w:drawing>
      </w:r>
      <w:r w:rsidR="00B4165A" w:rsidRPr="004E0E1B">
        <w:rPr>
          <w:rFonts w:ascii="Roboto" w:hAnsi="Roboto"/>
        </w:rPr>
        <w:t>Annex II – Reporting Exemption</w:t>
      </w:r>
    </w:p>
    <w:p w14:paraId="55B67DB5" w14:textId="77777777" w:rsidR="00B4165A" w:rsidRPr="004E0E1B" w:rsidRDefault="00B4165A" w:rsidP="00B4165A">
      <w:pPr>
        <w:rPr>
          <w:rFonts w:ascii="Roboto" w:hAnsi="Roboto"/>
          <w:lang w:eastAsia="en-GB"/>
        </w:rPr>
      </w:pPr>
    </w:p>
    <w:p w14:paraId="55015C26" w14:textId="77777777" w:rsidR="00B4165A" w:rsidRPr="004E0E1B" w:rsidRDefault="00B4165A" w:rsidP="00B4165A">
      <w:pPr>
        <w:pStyle w:val="Heading3"/>
        <w:rPr>
          <w:rFonts w:ascii="Roboto" w:hAnsi="Roboto"/>
          <w:lang w:eastAsia="en-GB"/>
        </w:rPr>
      </w:pPr>
      <w:r w:rsidRPr="004E0E1B">
        <w:rPr>
          <w:rFonts w:ascii="Roboto" w:hAnsi="Roboto"/>
          <w:lang w:eastAsia="en-GB"/>
        </w:rPr>
        <w:t>(Optional)</w:t>
      </w:r>
    </w:p>
    <w:p w14:paraId="3038FE04" w14:textId="77777777" w:rsidR="00B4165A" w:rsidRPr="004E0E1B" w:rsidRDefault="00B4165A" w:rsidP="00B4165A">
      <w:pPr>
        <w:rPr>
          <w:rFonts w:ascii="Roboto" w:hAnsi="Roboto"/>
          <w:lang w:eastAsia="en-GB"/>
        </w:rPr>
      </w:pPr>
    </w:p>
    <w:p w14:paraId="15759BA0" w14:textId="77777777" w:rsidR="00B4165A" w:rsidRPr="004E0E1B" w:rsidRDefault="00B4165A" w:rsidP="00B4165A">
      <w:pPr>
        <w:pStyle w:val="Heading2"/>
        <w:rPr>
          <w:rFonts w:ascii="Roboto" w:hAnsi="Roboto"/>
        </w:rPr>
      </w:pPr>
      <w:r w:rsidRPr="004E0E1B">
        <w:rPr>
          <w:rFonts w:ascii="Roboto" w:hAnsi="Roboto"/>
        </w:rPr>
        <w:t>Unique Exemption Request Form</w:t>
      </w:r>
    </w:p>
    <w:p w14:paraId="5BDFF721" w14:textId="77777777" w:rsidR="00B4165A" w:rsidRPr="004E0E1B" w:rsidRDefault="00B4165A" w:rsidP="00B4165A">
      <w:pPr>
        <w:pStyle w:val="Heading3"/>
        <w:rPr>
          <w:rFonts w:ascii="Roboto" w:hAnsi="Roboto"/>
          <w:lang w:eastAsia="en-GB"/>
        </w:rPr>
      </w:pPr>
      <w:r w:rsidRPr="004E0E1B">
        <w:rPr>
          <w:rFonts w:ascii="Roboto" w:hAnsi="Roboto"/>
          <w:lang w:eastAsia="en-GB"/>
        </w:rPr>
        <w:t>(To be filled if the exemption request concerns only one counterparty)</w:t>
      </w:r>
    </w:p>
    <w:p w14:paraId="3A189B0F" w14:textId="77777777" w:rsidR="00B4165A" w:rsidRPr="004E0E1B" w:rsidRDefault="00B4165A" w:rsidP="00B4165A">
      <w:pPr>
        <w:rPr>
          <w:rFonts w:ascii="Roboto" w:hAnsi="Roboto"/>
          <w:lang w:eastAsia="en-GB"/>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3655"/>
      </w:tblGrid>
      <w:tr w:rsidR="00B4165A" w:rsidRPr="004E0E1B" w14:paraId="19109BCF" w14:textId="77777777" w:rsidTr="004362DF">
        <w:trPr>
          <w:trHeight w:val="20"/>
        </w:trPr>
        <w:tc>
          <w:tcPr>
            <w:tcW w:w="9001" w:type="dxa"/>
            <w:gridSpan w:val="2"/>
            <w:shd w:val="clear" w:color="auto" w:fill="0B1A34"/>
            <w:vAlign w:val="bottom"/>
          </w:tcPr>
          <w:p w14:paraId="5D0161C5" w14:textId="77777777" w:rsidR="00B4165A" w:rsidRPr="004E0E1B" w:rsidRDefault="00B4165A" w:rsidP="004362DF">
            <w:pPr>
              <w:ind w:left="360"/>
              <w:jc w:val="left"/>
              <w:rPr>
                <w:rFonts w:ascii="Roboto" w:hAnsi="Roboto"/>
                <w:color w:val="FFFFFF"/>
              </w:rPr>
            </w:pPr>
            <w:r w:rsidRPr="004E0E1B">
              <w:rPr>
                <w:rFonts w:ascii="Roboto" w:hAnsi="Roboto"/>
                <w:color w:val="FFFFFF"/>
              </w:rPr>
              <w:t>Information related to the submitting counterparty and its intragroup counterparties</w:t>
            </w:r>
          </w:p>
        </w:tc>
      </w:tr>
      <w:tr w:rsidR="00405940" w:rsidRPr="004E0E1B" w14:paraId="7D070801" w14:textId="77777777" w:rsidTr="004362DF">
        <w:trPr>
          <w:trHeight w:val="20"/>
        </w:trPr>
        <w:tc>
          <w:tcPr>
            <w:tcW w:w="5346" w:type="dxa"/>
            <w:vAlign w:val="center"/>
          </w:tcPr>
          <w:p w14:paraId="2D36147D" w14:textId="77777777" w:rsidR="00405940" w:rsidRPr="004E0E1B" w:rsidRDefault="00405940" w:rsidP="004362DF">
            <w:pPr>
              <w:ind w:left="360"/>
              <w:rPr>
                <w:rFonts w:ascii="Roboto" w:hAnsi="Roboto"/>
                <w:b/>
              </w:rPr>
            </w:pPr>
            <w:r w:rsidRPr="004E0E1B">
              <w:rPr>
                <w:rFonts w:ascii="Roboto" w:hAnsi="Roboto"/>
                <w:b/>
              </w:rPr>
              <w:t xml:space="preserve">The submitting counterparty is a: </w:t>
            </w:r>
            <w:r w:rsidRPr="004E0E1B">
              <w:rPr>
                <w:rFonts w:ascii="Roboto" w:hAnsi="Roboto"/>
              </w:rPr>
              <w:t>(FC / NFC)</w:t>
            </w:r>
          </w:p>
        </w:tc>
        <w:sdt>
          <w:sdtPr>
            <w:rPr>
              <w:rStyle w:val="PlaceholderText"/>
              <w:rFonts w:ascii="Roboto" w:hAnsi="Roboto"/>
            </w:rPr>
            <w:id w:val="411125650"/>
            <w:placeholder>
              <w:docPart w:val="DefaultPlaceholder_-1854013440"/>
            </w:placeholder>
          </w:sdtPr>
          <w:sdtContent>
            <w:tc>
              <w:tcPr>
                <w:tcW w:w="3655" w:type="dxa"/>
              </w:tcPr>
              <w:p w14:paraId="0EBCD368" w14:textId="65DA8C2D" w:rsidR="00405940" w:rsidRPr="004E0E1B" w:rsidRDefault="00405940" w:rsidP="004362DF">
                <w:pPr>
                  <w:ind w:left="67"/>
                  <w:jc w:val="left"/>
                  <w:rPr>
                    <w:rFonts w:ascii="Roboto" w:hAnsi="Roboto"/>
                  </w:rPr>
                </w:pPr>
                <w:r w:rsidRPr="004E0E1B">
                  <w:rPr>
                    <w:rStyle w:val="PlaceholderText"/>
                    <w:rFonts w:ascii="Roboto" w:hAnsi="Roboto"/>
                  </w:rPr>
                  <w:t>Click or tap here to enter text.</w:t>
                </w:r>
              </w:p>
            </w:tc>
          </w:sdtContent>
        </w:sdt>
      </w:tr>
      <w:tr w:rsidR="00405940" w:rsidRPr="004E0E1B" w14:paraId="66EBAD09" w14:textId="77777777" w:rsidTr="004362DF">
        <w:trPr>
          <w:trHeight w:val="20"/>
        </w:trPr>
        <w:tc>
          <w:tcPr>
            <w:tcW w:w="5346" w:type="dxa"/>
            <w:vAlign w:val="center"/>
          </w:tcPr>
          <w:p w14:paraId="11CB1CA8" w14:textId="77777777" w:rsidR="00405940" w:rsidRPr="004E0E1B" w:rsidRDefault="00405940" w:rsidP="004362DF">
            <w:pPr>
              <w:ind w:left="360"/>
              <w:rPr>
                <w:rFonts w:ascii="Roboto" w:hAnsi="Roboto"/>
                <w:b/>
              </w:rPr>
            </w:pPr>
            <w:r w:rsidRPr="004E0E1B">
              <w:rPr>
                <w:rFonts w:ascii="Roboto" w:hAnsi="Roboto"/>
                <w:b/>
              </w:rPr>
              <w:t xml:space="preserve">The parent counterparty is a: </w:t>
            </w:r>
            <w:r w:rsidRPr="004E0E1B">
              <w:rPr>
                <w:rFonts w:ascii="Roboto" w:hAnsi="Roboto"/>
              </w:rPr>
              <w:t>(FC / NFC)</w:t>
            </w:r>
          </w:p>
        </w:tc>
        <w:sdt>
          <w:sdtPr>
            <w:rPr>
              <w:rStyle w:val="PlaceholderText"/>
              <w:rFonts w:ascii="Roboto" w:hAnsi="Roboto"/>
            </w:rPr>
            <w:id w:val="663205878"/>
            <w:placeholder>
              <w:docPart w:val="DefaultPlaceholder_-1854013440"/>
            </w:placeholder>
          </w:sdtPr>
          <w:sdtContent>
            <w:tc>
              <w:tcPr>
                <w:tcW w:w="3655" w:type="dxa"/>
              </w:tcPr>
              <w:p w14:paraId="38170A1C" w14:textId="1EFABA25" w:rsidR="00405940" w:rsidRPr="004E0E1B" w:rsidRDefault="00405940" w:rsidP="004362DF">
                <w:pPr>
                  <w:ind w:left="67"/>
                  <w:rPr>
                    <w:rFonts w:ascii="Roboto" w:hAnsi="Roboto"/>
                  </w:rPr>
                </w:pPr>
                <w:r w:rsidRPr="004E0E1B">
                  <w:rPr>
                    <w:rStyle w:val="PlaceholderText"/>
                    <w:rFonts w:ascii="Roboto" w:hAnsi="Roboto"/>
                  </w:rPr>
                  <w:t>Click or tap here to enter text.</w:t>
                </w:r>
              </w:p>
            </w:tc>
          </w:sdtContent>
        </w:sdt>
      </w:tr>
      <w:tr w:rsidR="00405940" w:rsidRPr="004E0E1B" w14:paraId="5E52E705" w14:textId="77777777" w:rsidTr="004362DF">
        <w:trPr>
          <w:trHeight w:val="20"/>
        </w:trPr>
        <w:tc>
          <w:tcPr>
            <w:tcW w:w="5346" w:type="dxa"/>
            <w:vAlign w:val="center"/>
          </w:tcPr>
          <w:p w14:paraId="7A5A1C71" w14:textId="77777777" w:rsidR="00405940" w:rsidRPr="004E0E1B" w:rsidRDefault="00405940" w:rsidP="004362DF">
            <w:pPr>
              <w:ind w:left="360"/>
              <w:rPr>
                <w:rFonts w:ascii="Roboto" w:hAnsi="Roboto"/>
                <w:b/>
              </w:rPr>
            </w:pPr>
            <w:r w:rsidRPr="004E0E1B">
              <w:rPr>
                <w:rFonts w:ascii="Roboto" w:hAnsi="Roboto"/>
                <w:b/>
              </w:rPr>
              <w:t>Country/ies of intragroup counterparties of the submitting counterparty where an exemption request has been made:</w:t>
            </w:r>
          </w:p>
        </w:tc>
        <w:sdt>
          <w:sdtPr>
            <w:rPr>
              <w:rStyle w:val="PlaceholderText"/>
              <w:rFonts w:ascii="Roboto" w:hAnsi="Roboto"/>
            </w:rPr>
            <w:id w:val="-1978977636"/>
            <w:placeholder>
              <w:docPart w:val="DefaultPlaceholder_-1854013440"/>
            </w:placeholder>
          </w:sdtPr>
          <w:sdtContent>
            <w:tc>
              <w:tcPr>
                <w:tcW w:w="3655" w:type="dxa"/>
              </w:tcPr>
              <w:p w14:paraId="6E0203A6" w14:textId="764EB86D" w:rsidR="00405940" w:rsidRPr="004E0E1B" w:rsidRDefault="00405940" w:rsidP="004362DF">
                <w:pPr>
                  <w:ind w:left="67"/>
                  <w:rPr>
                    <w:rFonts w:ascii="Roboto" w:hAnsi="Roboto"/>
                  </w:rPr>
                </w:pPr>
                <w:r w:rsidRPr="004E0E1B">
                  <w:rPr>
                    <w:rStyle w:val="PlaceholderText"/>
                    <w:rFonts w:ascii="Roboto" w:hAnsi="Roboto"/>
                  </w:rPr>
                  <w:t>Click or tap here to enter text.</w:t>
                </w:r>
              </w:p>
            </w:tc>
          </w:sdtContent>
        </w:sdt>
      </w:tr>
      <w:tr w:rsidR="00405940" w:rsidRPr="004E0E1B" w14:paraId="30011E6C" w14:textId="77777777" w:rsidTr="004362DF">
        <w:trPr>
          <w:trHeight w:val="20"/>
        </w:trPr>
        <w:tc>
          <w:tcPr>
            <w:tcW w:w="5346" w:type="dxa"/>
            <w:vAlign w:val="center"/>
          </w:tcPr>
          <w:p w14:paraId="2D75A46D" w14:textId="77777777" w:rsidR="00405940" w:rsidRPr="004E0E1B" w:rsidRDefault="00405940" w:rsidP="004362DF">
            <w:pPr>
              <w:ind w:left="360"/>
              <w:rPr>
                <w:rFonts w:ascii="Roboto" w:hAnsi="Roboto"/>
                <w:b/>
              </w:rPr>
            </w:pPr>
            <w:r w:rsidRPr="004E0E1B">
              <w:rPr>
                <w:rFonts w:ascii="Roboto" w:hAnsi="Roboto"/>
                <w:b/>
              </w:rPr>
              <w:t>Does the submitting counterparty already benefit from an intragroup clearing or margin exemption?</w:t>
            </w:r>
          </w:p>
        </w:tc>
        <w:sdt>
          <w:sdtPr>
            <w:rPr>
              <w:rStyle w:val="PlaceholderText"/>
              <w:rFonts w:ascii="Roboto" w:hAnsi="Roboto"/>
            </w:rPr>
            <w:id w:val="-1494560304"/>
            <w:placeholder>
              <w:docPart w:val="DefaultPlaceholder_-1854013440"/>
            </w:placeholder>
          </w:sdtPr>
          <w:sdtContent>
            <w:tc>
              <w:tcPr>
                <w:tcW w:w="3655" w:type="dxa"/>
              </w:tcPr>
              <w:p w14:paraId="1531BBDF" w14:textId="7A42103C" w:rsidR="00405940" w:rsidRPr="004E0E1B" w:rsidRDefault="00405940" w:rsidP="004362DF">
                <w:pPr>
                  <w:ind w:left="67"/>
                  <w:rPr>
                    <w:rFonts w:ascii="Roboto" w:hAnsi="Roboto"/>
                  </w:rPr>
                </w:pPr>
                <w:r w:rsidRPr="004E0E1B">
                  <w:rPr>
                    <w:rStyle w:val="PlaceholderText"/>
                    <w:rFonts w:ascii="Roboto" w:hAnsi="Roboto"/>
                  </w:rPr>
                  <w:t>Click or tap here to enter text.</w:t>
                </w:r>
              </w:p>
            </w:tc>
          </w:sdtContent>
        </w:sdt>
      </w:tr>
    </w:tbl>
    <w:p w14:paraId="35F8E8DB" w14:textId="77777777" w:rsidR="00B4165A" w:rsidRPr="004E0E1B" w:rsidRDefault="00B4165A" w:rsidP="00B4165A">
      <w:pPr>
        <w:rPr>
          <w:rFonts w:ascii="Roboto" w:hAnsi="Roboto"/>
          <w:lang w:eastAsia="en-GB"/>
        </w:rPr>
      </w:pP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8"/>
        <w:gridCol w:w="3698"/>
      </w:tblGrid>
      <w:tr w:rsidR="00273385" w:rsidRPr="004E0E1B" w14:paraId="7C21F4DD" w14:textId="77777777" w:rsidTr="004362DF">
        <w:trPr>
          <w:trHeight w:val="409"/>
        </w:trPr>
        <w:tc>
          <w:tcPr>
            <w:tcW w:w="9106" w:type="dxa"/>
            <w:gridSpan w:val="2"/>
            <w:shd w:val="clear" w:color="auto" w:fill="0B1A34"/>
            <w:vAlign w:val="bottom"/>
          </w:tcPr>
          <w:p w14:paraId="2909E84F" w14:textId="77777777" w:rsidR="00273385" w:rsidRPr="004E0E1B" w:rsidRDefault="00273385" w:rsidP="004362DF">
            <w:pPr>
              <w:jc w:val="left"/>
              <w:rPr>
                <w:rFonts w:ascii="Roboto" w:hAnsi="Roboto"/>
                <w:color w:val="FFFFFF"/>
              </w:rPr>
            </w:pPr>
            <w:r w:rsidRPr="004E0E1B">
              <w:rPr>
                <w:rFonts w:ascii="Roboto" w:hAnsi="Roboto"/>
                <w:color w:val="FFFFFF"/>
              </w:rPr>
              <w:t xml:space="preserve">Transaction Risk Management details </w:t>
            </w:r>
          </w:p>
        </w:tc>
      </w:tr>
      <w:tr w:rsidR="00273385" w:rsidRPr="004E0E1B" w14:paraId="7D286C3A" w14:textId="77777777" w:rsidTr="004362DF">
        <w:trPr>
          <w:trHeight w:val="16"/>
        </w:trPr>
        <w:tc>
          <w:tcPr>
            <w:tcW w:w="5408" w:type="dxa"/>
            <w:vAlign w:val="center"/>
          </w:tcPr>
          <w:p w14:paraId="3DBBBE24" w14:textId="77777777" w:rsidR="00273385" w:rsidRPr="004E0E1B" w:rsidRDefault="00273385" w:rsidP="00710E48">
            <w:pPr>
              <w:rPr>
                <w:rFonts w:ascii="Roboto" w:hAnsi="Roboto"/>
                <w:b/>
              </w:rPr>
            </w:pPr>
            <w:r w:rsidRPr="004E0E1B">
              <w:rPr>
                <w:rFonts w:ascii="Roboto" w:hAnsi="Roboto"/>
                <w:b/>
              </w:rPr>
              <w:t>Describe the risk management policies and controls and how they are centrally defined and applied.</w:t>
            </w:r>
          </w:p>
        </w:tc>
        <w:sdt>
          <w:sdtPr>
            <w:rPr>
              <w:rStyle w:val="PlaceholderText"/>
              <w:rFonts w:ascii="Roboto" w:hAnsi="Roboto"/>
            </w:rPr>
            <w:id w:val="2006014440"/>
            <w:placeholder>
              <w:docPart w:val="DefaultPlaceholder_-1854013440"/>
            </w:placeholder>
          </w:sdtPr>
          <w:sdtContent>
            <w:tc>
              <w:tcPr>
                <w:tcW w:w="3698" w:type="dxa"/>
              </w:tcPr>
              <w:p w14:paraId="667A4EA8" w14:textId="20FA422A" w:rsidR="00273385" w:rsidRPr="004E0E1B" w:rsidRDefault="00405940" w:rsidP="00710E48">
                <w:pPr>
                  <w:rPr>
                    <w:rFonts w:ascii="Roboto" w:hAnsi="Roboto"/>
                  </w:rPr>
                </w:pPr>
                <w:r w:rsidRPr="004E0E1B">
                  <w:rPr>
                    <w:rStyle w:val="PlaceholderText"/>
                    <w:rFonts w:ascii="Roboto" w:hAnsi="Roboto"/>
                  </w:rPr>
                  <w:t>Click or tap here to enter text.</w:t>
                </w:r>
              </w:p>
            </w:tc>
          </w:sdtContent>
        </w:sdt>
      </w:tr>
      <w:tr w:rsidR="00405940" w:rsidRPr="004E0E1B" w14:paraId="74715D64" w14:textId="77777777" w:rsidTr="004362DF">
        <w:trPr>
          <w:trHeight w:val="16"/>
        </w:trPr>
        <w:tc>
          <w:tcPr>
            <w:tcW w:w="5408" w:type="dxa"/>
            <w:vAlign w:val="center"/>
          </w:tcPr>
          <w:p w14:paraId="12CCEE2D" w14:textId="77777777" w:rsidR="00405940" w:rsidRPr="004E0E1B" w:rsidRDefault="00405940" w:rsidP="00405940">
            <w:pPr>
              <w:rPr>
                <w:rFonts w:ascii="Roboto" w:hAnsi="Roboto"/>
                <w:b/>
              </w:rPr>
            </w:pPr>
            <w:r w:rsidRPr="004E0E1B">
              <w:rPr>
                <w:rFonts w:ascii="Roboto" w:hAnsi="Roboto"/>
                <w:b/>
              </w:rPr>
              <w:t>Demonstrate that senior management is responsible for risk management and that risk measurement is regularly reviewed.</w:t>
            </w:r>
          </w:p>
        </w:tc>
        <w:sdt>
          <w:sdtPr>
            <w:rPr>
              <w:rStyle w:val="PlaceholderText"/>
              <w:rFonts w:ascii="Roboto" w:hAnsi="Roboto"/>
            </w:rPr>
            <w:id w:val="-1298218077"/>
            <w:placeholder>
              <w:docPart w:val="DefaultPlaceholder_-1854013440"/>
            </w:placeholder>
          </w:sdtPr>
          <w:sdtContent>
            <w:tc>
              <w:tcPr>
                <w:tcW w:w="3698" w:type="dxa"/>
              </w:tcPr>
              <w:p w14:paraId="5AD9E6A0" w14:textId="0B6FC11A" w:rsidR="00405940" w:rsidRPr="004E0E1B" w:rsidRDefault="00405940" w:rsidP="00405940">
                <w:pPr>
                  <w:rPr>
                    <w:rFonts w:ascii="Roboto" w:hAnsi="Roboto"/>
                    <w:b/>
                    <w:bCs/>
                  </w:rPr>
                </w:pPr>
                <w:r w:rsidRPr="004E0E1B">
                  <w:rPr>
                    <w:rStyle w:val="PlaceholderText"/>
                    <w:rFonts w:ascii="Roboto" w:hAnsi="Roboto"/>
                  </w:rPr>
                  <w:t>Click or tap here to enter text.</w:t>
                </w:r>
              </w:p>
            </w:tc>
          </w:sdtContent>
        </w:sdt>
      </w:tr>
      <w:tr w:rsidR="00405940" w:rsidRPr="004E0E1B" w14:paraId="3A55E0ED" w14:textId="77777777" w:rsidTr="004362DF">
        <w:trPr>
          <w:trHeight w:val="16"/>
        </w:trPr>
        <w:tc>
          <w:tcPr>
            <w:tcW w:w="5408" w:type="dxa"/>
            <w:vAlign w:val="center"/>
          </w:tcPr>
          <w:p w14:paraId="3C18BA4B" w14:textId="77777777" w:rsidR="00405940" w:rsidRPr="004E0E1B" w:rsidRDefault="00405940" w:rsidP="00405940">
            <w:pPr>
              <w:rPr>
                <w:rFonts w:ascii="Roboto" w:hAnsi="Roboto"/>
                <w:b/>
              </w:rPr>
            </w:pPr>
            <w:r w:rsidRPr="004E0E1B">
              <w:rPr>
                <w:rFonts w:ascii="Roboto" w:hAnsi="Roboto"/>
                <w:b/>
              </w:rPr>
              <w:t>Demonstrate that regular and transparent communication mechanisms are established within the organisation, so that the management body, senior management, business lines, the risk management function and other control functions can all share information about risk measurement, analysis and monitoring.</w:t>
            </w:r>
          </w:p>
        </w:tc>
        <w:sdt>
          <w:sdtPr>
            <w:rPr>
              <w:rStyle w:val="PlaceholderText"/>
              <w:rFonts w:ascii="Roboto" w:hAnsi="Roboto"/>
            </w:rPr>
            <w:id w:val="-19549509"/>
            <w:placeholder>
              <w:docPart w:val="DefaultPlaceholder_-1854013440"/>
            </w:placeholder>
          </w:sdtPr>
          <w:sdtContent>
            <w:tc>
              <w:tcPr>
                <w:tcW w:w="3698" w:type="dxa"/>
              </w:tcPr>
              <w:p w14:paraId="1BAF978E" w14:textId="244ED5C4" w:rsidR="00405940" w:rsidRPr="004E0E1B" w:rsidRDefault="00405940" w:rsidP="00405940">
                <w:pPr>
                  <w:rPr>
                    <w:rFonts w:ascii="Roboto" w:hAnsi="Roboto"/>
                    <w:b/>
                    <w:bCs/>
                  </w:rPr>
                </w:pPr>
                <w:r w:rsidRPr="004E0E1B">
                  <w:rPr>
                    <w:rStyle w:val="PlaceholderText"/>
                    <w:rFonts w:ascii="Roboto" w:hAnsi="Roboto"/>
                  </w:rPr>
                  <w:t>Click or tap here to enter text.</w:t>
                </w:r>
              </w:p>
            </w:tc>
          </w:sdtContent>
        </w:sdt>
      </w:tr>
      <w:tr w:rsidR="00405940" w:rsidRPr="004E0E1B" w14:paraId="16805751" w14:textId="77777777" w:rsidTr="004362DF">
        <w:trPr>
          <w:trHeight w:val="16"/>
        </w:trPr>
        <w:tc>
          <w:tcPr>
            <w:tcW w:w="5408" w:type="dxa"/>
            <w:vAlign w:val="center"/>
          </w:tcPr>
          <w:p w14:paraId="0BA2C2BC" w14:textId="77777777" w:rsidR="00405940" w:rsidRPr="004E0E1B" w:rsidRDefault="00405940" w:rsidP="00405940">
            <w:pPr>
              <w:rPr>
                <w:rFonts w:ascii="Roboto" w:hAnsi="Roboto"/>
                <w:b/>
              </w:rPr>
            </w:pPr>
            <w:r w:rsidRPr="004E0E1B">
              <w:rPr>
                <w:rFonts w:ascii="Roboto" w:hAnsi="Roboto"/>
                <w:b/>
              </w:rPr>
              <w:t xml:space="preserve">Demonstrate that internal procedures and information systems are consistent throughout the </w:t>
            </w:r>
            <w:r w:rsidRPr="004E0E1B">
              <w:rPr>
                <w:rFonts w:ascii="Roboto" w:hAnsi="Roboto"/>
                <w:b/>
              </w:rPr>
              <w:lastRenderedPageBreak/>
              <w:t>institution and reliable so that all sources of relevant risks can be identified, measured, and monitored on an aggregated basis and also, to the extent necessary, by entity, business line, and portfolio.</w:t>
            </w:r>
          </w:p>
        </w:tc>
        <w:sdt>
          <w:sdtPr>
            <w:rPr>
              <w:rStyle w:val="PlaceholderText"/>
              <w:rFonts w:ascii="Roboto" w:hAnsi="Roboto"/>
            </w:rPr>
            <w:id w:val="-73196597"/>
            <w:placeholder>
              <w:docPart w:val="DefaultPlaceholder_-1854013440"/>
            </w:placeholder>
          </w:sdtPr>
          <w:sdtContent>
            <w:tc>
              <w:tcPr>
                <w:tcW w:w="3698" w:type="dxa"/>
              </w:tcPr>
              <w:p w14:paraId="7E156994" w14:textId="0C9651F2" w:rsidR="00405940" w:rsidRPr="004E0E1B" w:rsidRDefault="00405940" w:rsidP="00405940">
                <w:pPr>
                  <w:rPr>
                    <w:rFonts w:ascii="Roboto" w:hAnsi="Roboto"/>
                    <w:b/>
                    <w:bCs/>
                  </w:rPr>
                </w:pPr>
                <w:r w:rsidRPr="004E0E1B">
                  <w:rPr>
                    <w:rStyle w:val="PlaceholderText"/>
                    <w:rFonts w:ascii="Roboto" w:hAnsi="Roboto"/>
                  </w:rPr>
                  <w:t>Click or tap here to enter text.</w:t>
                </w:r>
              </w:p>
            </w:tc>
          </w:sdtContent>
        </w:sdt>
      </w:tr>
      <w:tr w:rsidR="00273385" w:rsidRPr="004E0E1B" w14:paraId="37793019" w14:textId="77777777" w:rsidTr="004362DF">
        <w:trPr>
          <w:trHeight w:val="1420"/>
        </w:trPr>
        <w:tc>
          <w:tcPr>
            <w:tcW w:w="5408" w:type="dxa"/>
            <w:vAlign w:val="center"/>
          </w:tcPr>
          <w:p w14:paraId="54A27E57" w14:textId="77777777" w:rsidR="00273385" w:rsidRPr="004E0E1B" w:rsidRDefault="00273385" w:rsidP="00710E48">
            <w:pPr>
              <w:rPr>
                <w:rFonts w:ascii="Roboto" w:hAnsi="Roboto"/>
                <w:b/>
              </w:rPr>
            </w:pPr>
            <w:r w:rsidRPr="004E0E1B">
              <w:rPr>
                <w:rFonts w:ascii="Roboto" w:hAnsi="Roboto"/>
                <w:b/>
              </w:rPr>
              <w:t>Demonstrate how the key risk information is regularly reported to the central risk management function to enable appropriate centralised evaluation, measurement and control risk across the relevant group entities.</w:t>
            </w:r>
          </w:p>
        </w:tc>
        <w:sdt>
          <w:sdtPr>
            <w:rPr>
              <w:rStyle w:val="PlaceholderText"/>
              <w:rFonts w:ascii="Roboto" w:hAnsi="Roboto"/>
            </w:rPr>
            <w:id w:val="-1903512114"/>
            <w:placeholder>
              <w:docPart w:val="DefaultPlaceholder_-1854013440"/>
            </w:placeholder>
          </w:sdtPr>
          <w:sdtContent>
            <w:tc>
              <w:tcPr>
                <w:tcW w:w="3698" w:type="dxa"/>
              </w:tcPr>
              <w:p w14:paraId="78D5A71E" w14:textId="7AEF3EB6" w:rsidR="00273385" w:rsidRPr="004E0E1B" w:rsidRDefault="00405940" w:rsidP="00710E48">
                <w:pPr>
                  <w:rPr>
                    <w:rFonts w:ascii="Roboto" w:hAnsi="Roboto"/>
                  </w:rPr>
                </w:pPr>
                <w:r w:rsidRPr="004E0E1B">
                  <w:rPr>
                    <w:rStyle w:val="PlaceholderText"/>
                    <w:rFonts w:ascii="Roboto" w:hAnsi="Roboto"/>
                  </w:rPr>
                  <w:t>Click or tap here to enter text.</w:t>
                </w:r>
              </w:p>
            </w:tc>
          </w:sdtContent>
        </w:sdt>
      </w:tr>
    </w:tbl>
    <w:p w14:paraId="3F36EED9" w14:textId="77777777" w:rsidR="00273385" w:rsidRPr="004E0E1B" w:rsidRDefault="00273385" w:rsidP="00273385">
      <w:pPr>
        <w:spacing w:after="160" w:line="259" w:lineRule="auto"/>
        <w:jc w:val="left"/>
        <w:rPr>
          <w:rFonts w:ascii="Roboto" w:hAnsi="Roboto"/>
        </w:rPr>
      </w:pPr>
    </w:p>
    <w:p w14:paraId="3975C46A" w14:textId="77777777" w:rsidR="00B4165A" w:rsidRPr="004E0E1B" w:rsidRDefault="00B4165A" w:rsidP="00273385">
      <w:pPr>
        <w:pStyle w:val="Heading2"/>
        <w:rPr>
          <w:rFonts w:ascii="Roboto" w:hAnsi="Roboto"/>
        </w:rPr>
      </w:pPr>
      <w:r w:rsidRPr="004E0E1B">
        <w:rPr>
          <w:rFonts w:ascii="Roboto" w:hAnsi="Roboto"/>
        </w:rPr>
        <w:t>Multiple Exemption Request Form</w:t>
      </w:r>
    </w:p>
    <w:p w14:paraId="75FCD838" w14:textId="77777777" w:rsidR="00B4165A" w:rsidRPr="004E0E1B" w:rsidRDefault="00B4165A" w:rsidP="00B4165A">
      <w:pPr>
        <w:pStyle w:val="Heading3"/>
        <w:rPr>
          <w:rFonts w:ascii="Roboto" w:hAnsi="Roboto"/>
          <w:lang w:eastAsia="en-GB"/>
        </w:rPr>
      </w:pPr>
      <w:r w:rsidRPr="004E0E1B">
        <w:rPr>
          <w:rFonts w:ascii="Roboto" w:hAnsi="Roboto"/>
          <w:lang w:eastAsia="en-GB"/>
        </w:rPr>
        <w:t>(To be filled if the exemption request concerns several counterparties of the same group)</w:t>
      </w:r>
    </w:p>
    <w:p w14:paraId="7FFFC1A5" w14:textId="77777777" w:rsidR="00B4165A" w:rsidRPr="004E0E1B" w:rsidRDefault="00B4165A" w:rsidP="00B4165A">
      <w:pPr>
        <w:rPr>
          <w:rFonts w:ascii="Roboto" w:hAnsi="Roboto"/>
          <w:lang w:eastAsia="en-GB"/>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3655"/>
      </w:tblGrid>
      <w:tr w:rsidR="00B4165A" w:rsidRPr="004E0E1B" w14:paraId="5F41941F" w14:textId="77777777" w:rsidTr="004362DF">
        <w:trPr>
          <w:trHeight w:val="20"/>
        </w:trPr>
        <w:tc>
          <w:tcPr>
            <w:tcW w:w="9001" w:type="dxa"/>
            <w:gridSpan w:val="2"/>
            <w:shd w:val="clear" w:color="auto" w:fill="0B1A34"/>
            <w:vAlign w:val="bottom"/>
          </w:tcPr>
          <w:p w14:paraId="11B4C6F6" w14:textId="77777777" w:rsidR="00B4165A" w:rsidRPr="004E0E1B" w:rsidRDefault="00B4165A" w:rsidP="004362DF">
            <w:pPr>
              <w:ind w:left="360"/>
              <w:jc w:val="left"/>
              <w:rPr>
                <w:rFonts w:ascii="Roboto" w:hAnsi="Roboto"/>
                <w:color w:val="FFFFFF"/>
              </w:rPr>
            </w:pPr>
            <w:r w:rsidRPr="004E0E1B">
              <w:rPr>
                <w:rFonts w:ascii="Roboto" w:hAnsi="Roboto"/>
                <w:color w:val="FFFFFF"/>
              </w:rPr>
              <w:t>Information related to counterparties for which the exemption is requested</w:t>
            </w:r>
          </w:p>
        </w:tc>
      </w:tr>
      <w:tr w:rsidR="00405940" w:rsidRPr="004E0E1B" w14:paraId="323E6F7B" w14:textId="77777777" w:rsidTr="004362DF">
        <w:trPr>
          <w:trHeight w:val="20"/>
        </w:trPr>
        <w:tc>
          <w:tcPr>
            <w:tcW w:w="5346" w:type="dxa"/>
            <w:vAlign w:val="center"/>
          </w:tcPr>
          <w:p w14:paraId="71DC5169" w14:textId="77777777" w:rsidR="00405940" w:rsidRPr="004E0E1B" w:rsidRDefault="00405940" w:rsidP="004362DF">
            <w:pPr>
              <w:ind w:left="360"/>
              <w:rPr>
                <w:rFonts w:ascii="Roboto" w:hAnsi="Roboto"/>
                <w:b/>
              </w:rPr>
            </w:pPr>
            <w:r w:rsidRPr="004E0E1B">
              <w:rPr>
                <w:rFonts w:ascii="Roboto" w:hAnsi="Roboto"/>
                <w:b/>
              </w:rPr>
              <w:t>Full name of counterparty/ies:</w:t>
            </w:r>
          </w:p>
        </w:tc>
        <w:sdt>
          <w:sdtPr>
            <w:rPr>
              <w:rStyle w:val="PlaceholderText"/>
              <w:rFonts w:ascii="Roboto" w:hAnsi="Roboto"/>
            </w:rPr>
            <w:id w:val="-1020933204"/>
            <w:placeholder>
              <w:docPart w:val="DefaultPlaceholder_-1854013440"/>
            </w:placeholder>
          </w:sdtPr>
          <w:sdtContent>
            <w:tc>
              <w:tcPr>
                <w:tcW w:w="3655" w:type="dxa"/>
              </w:tcPr>
              <w:p w14:paraId="2C2C156B" w14:textId="7BF78416" w:rsidR="00405940" w:rsidRPr="004E0E1B" w:rsidRDefault="00405940" w:rsidP="004362DF">
                <w:pPr>
                  <w:ind w:left="67"/>
                  <w:rPr>
                    <w:rFonts w:ascii="Roboto" w:hAnsi="Roboto"/>
                  </w:rPr>
                </w:pPr>
                <w:r w:rsidRPr="004E0E1B">
                  <w:rPr>
                    <w:rStyle w:val="PlaceholderText"/>
                    <w:rFonts w:ascii="Roboto" w:hAnsi="Roboto"/>
                  </w:rPr>
                  <w:t>Click or tap here to enter text.</w:t>
                </w:r>
              </w:p>
            </w:tc>
          </w:sdtContent>
        </w:sdt>
      </w:tr>
      <w:tr w:rsidR="00405940" w:rsidRPr="004E0E1B" w14:paraId="44D16768" w14:textId="77777777" w:rsidTr="004362DF">
        <w:trPr>
          <w:trHeight w:val="20"/>
        </w:trPr>
        <w:tc>
          <w:tcPr>
            <w:tcW w:w="5346" w:type="dxa"/>
            <w:vAlign w:val="center"/>
          </w:tcPr>
          <w:p w14:paraId="204791B6" w14:textId="77777777" w:rsidR="00405940" w:rsidRPr="004E0E1B" w:rsidRDefault="00405940" w:rsidP="004362DF">
            <w:pPr>
              <w:ind w:left="360"/>
              <w:rPr>
                <w:rFonts w:ascii="Roboto" w:hAnsi="Roboto"/>
                <w:b/>
              </w:rPr>
            </w:pPr>
            <w:r w:rsidRPr="004E0E1B">
              <w:rPr>
                <w:rFonts w:ascii="Roboto" w:hAnsi="Roboto"/>
                <w:b/>
              </w:rPr>
              <w:t>Legal Entity Identifier (LEI):</w:t>
            </w:r>
          </w:p>
        </w:tc>
        <w:sdt>
          <w:sdtPr>
            <w:rPr>
              <w:rStyle w:val="PlaceholderText"/>
              <w:rFonts w:ascii="Roboto" w:hAnsi="Roboto"/>
            </w:rPr>
            <w:id w:val="-873301298"/>
            <w:placeholder>
              <w:docPart w:val="DefaultPlaceholder_-1854013440"/>
            </w:placeholder>
          </w:sdtPr>
          <w:sdtContent>
            <w:tc>
              <w:tcPr>
                <w:tcW w:w="3655" w:type="dxa"/>
              </w:tcPr>
              <w:p w14:paraId="74ADA64A" w14:textId="41D6BC12" w:rsidR="00405940" w:rsidRPr="004E0E1B" w:rsidRDefault="00405940" w:rsidP="004362DF">
                <w:pPr>
                  <w:ind w:left="67"/>
                  <w:rPr>
                    <w:rFonts w:ascii="Roboto" w:hAnsi="Roboto"/>
                  </w:rPr>
                </w:pPr>
                <w:r w:rsidRPr="004E0E1B">
                  <w:rPr>
                    <w:rStyle w:val="PlaceholderText"/>
                    <w:rFonts w:ascii="Roboto" w:hAnsi="Roboto"/>
                  </w:rPr>
                  <w:t>Click or tap here to enter text.</w:t>
                </w:r>
              </w:p>
            </w:tc>
          </w:sdtContent>
        </w:sdt>
      </w:tr>
      <w:tr w:rsidR="00405940" w:rsidRPr="004E0E1B" w14:paraId="6129EF18" w14:textId="77777777" w:rsidTr="004362DF">
        <w:trPr>
          <w:trHeight w:val="20"/>
        </w:trPr>
        <w:tc>
          <w:tcPr>
            <w:tcW w:w="5346" w:type="dxa"/>
            <w:vAlign w:val="center"/>
          </w:tcPr>
          <w:p w14:paraId="3078EACE" w14:textId="77777777" w:rsidR="00405940" w:rsidRPr="004E0E1B" w:rsidRDefault="00405940" w:rsidP="004362DF">
            <w:pPr>
              <w:ind w:left="360"/>
              <w:rPr>
                <w:rFonts w:ascii="Roboto" w:hAnsi="Roboto"/>
                <w:b/>
              </w:rPr>
            </w:pPr>
            <w:r w:rsidRPr="004E0E1B">
              <w:rPr>
                <w:rFonts w:ascii="Roboto" w:hAnsi="Roboto"/>
                <w:b/>
              </w:rPr>
              <w:t xml:space="preserve">Is the counterparty Financial or Non-Financial Counterparty? </w:t>
            </w:r>
          </w:p>
        </w:tc>
        <w:sdt>
          <w:sdtPr>
            <w:rPr>
              <w:rStyle w:val="PlaceholderText"/>
              <w:rFonts w:ascii="Roboto" w:hAnsi="Roboto"/>
            </w:rPr>
            <w:id w:val="-1530877814"/>
            <w:placeholder>
              <w:docPart w:val="DefaultPlaceholder_-1854013440"/>
            </w:placeholder>
          </w:sdtPr>
          <w:sdtContent>
            <w:tc>
              <w:tcPr>
                <w:tcW w:w="3655" w:type="dxa"/>
              </w:tcPr>
              <w:p w14:paraId="29D4BB80" w14:textId="73926602" w:rsidR="00405940" w:rsidRPr="004E0E1B" w:rsidRDefault="00405940" w:rsidP="004362DF">
                <w:pPr>
                  <w:ind w:left="67"/>
                  <w:rPr>
                    <w:rFonts w:ascii="Roboto" w:hAnsi="Roboto"/>
                  </w:rPr>
                </w:pPr>
                <w:r w:rsidRPr="004E0E1B">
                  <w:rPr>
                    <w:rStyle w:val="PlaceholderText"/>
                    <w:rFonts w:ascii="Roboto" w:hAnsi="Roboto"/>
                  </w:rPr>
                  <w:t>Click or tap here to enter text.</w:t>
                </w:r>
              </w:p>
            </w:tc>
          </w:sdtContent>
        </w:sdt>
      </w:tr>
    </w:tbl>
    <w:p w14:paraId="20C66481" w14:textId="77777777" w:rsidR="00B4165A" w:rsidRPr="004E0E1B" w:rsidRDefault="00B4165A" w:rsidP="00B4165A">
      <w:pPr>
        <w:rPr>
          <w:rFonts w:ascii="Roboto" w:hAnsi="Roboto"/>
          <w:noProof/>
          <w:lang w:eastAsia="en-GB"/>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3655"/>
      </w:tblGrid>
      <w:tr w:rsidR="00B4165A" w:rsidRPr="004E0E1B" w14:paraId="0B259200" w14:textId="77777777" w:rsidTr="004362DF">
        <w:trPr>
          <w:trHeight w:val="20"/>
        </w:trPr>
        <w:tc>
          <w:tcPr>
            <w:tcW w:w="9001" w:type="dxa"/>
            <w:gridSpan w:val="2"/>
            <w:shd w:val="clear" w:color="auto" w:fill="0B1A34"/>
            <w:vAlign w:val="bottom"/>
          </w:tcPr>
          <w:p w14:paraId="760A7B35" w14:textId="77777777" w:rsidR="00B4165A" w:rsidRPr="004E0E1B" w:rsidRDefault="00B4165A" w:rsidP="004362DF">
            <w:pPr>
              <w:ind w:left="360"/>
              <w:jc w:val="left"/>
              <w:rPr>
                <w:rFonts w:ascii="Roboto" w:hAnsi="Roboto"/>
                <w:color w:val="FFFFFF"/>
              </w:rPr>
            </w:pPr>
            <w:r w:rsidRPr="004E0E1B">
              <w:rPr>
                <w:rFonts w:ascii="Roboto" w:hAnsi="Roboto"/>
                <w:color w:val="FFFFFF"/>
              </w:rPr>
              <w:t>Information related to the group</w:t>
            </w:r>
          </w:p>
        </w:tc>
      </w:tr>
      <w:tr w:rsidR="00405940" w:rsidRPr="004E0E1B" w14:paraId="0FB82289" w14:textId="77777777" w:rsidTr="004362DF">
        <w:trPr>
          <w:trHeight w:val="20"/>
        </w:trPr>
        <w:tc>
          <w:tcPr>
            <w:tcW w:w="5346" w:type="dxa"/>
            <w:vAlign w:val="center"/>
          </w:tcPr>
          <w:p w14:paraId="3B5EB349" w14:textId="77777777" w:rsidR="00405940" w:rsidRPr="004E0E1B" w:rsidRDefault="00405940" w:rsidP="004362DF">
            <w:pPr>
              <w:ind w:left="360"/>
              <w:rPr>
                <w:rFonts w:ascii="Roboto" w:hAnsi="Roboto"/>
                <w:b/>
              </w:rPr>
            </w:pPr>
            <w:r w:rsidRPr="004E0E1B">
              <w:rPr>
                <w:rFonts w:ascii="Roboto" w:hAnsi="Roboto"/>
                <w:b/>
              </w:rPr>
              <w:t>Countries where exemption is requested:</w:t>
            </w:r>
          </w:p>
        </w:tc>
        <w:sdt>
          <w:sdtPr>
            <w:rPr>
              <w:rStyle w:val="PlaceholderText"/>
              <w:rFonts w:ascii="Roboto" w:hAnsi="Roboto"/>
            </w:rPr>
            <w:id w:val="-1275015069"/>
            <w:placeholder>
              <w:docPart w:val="DefaultPlaceholder_-1854013440"/>
            </w:placeholder>
          </w:sdtPr>
          <w:sdtContent>
            <w:tc>
              <w:tcPr>
                <w:tcW w:w="3655" w:type="dxa"/>
              </w:tcPr>
              <w:p w14:paraId="3B10D495" w14:textId="498DA506" w:rsidR="00405940" w:rsidRPr="004E0E1B" w:rsidRDefault="00405940" w:rsidP="004362DF">
                <w:pPr>
                  <w:ind w:left="67"/>
                  <w:rPr>
                    <w:rFonts w:ascii="Roboto" w:hAnsi="Roboto"/>
                  </w:rPr>
                </w:pPr>
                <w:r w:rsidRPr="004E0E1B">
                  <w:rPr>
                    <w:rStyle w:val="PlaceholderText"/>
                    <w:rFonts w:ascii="Roboto" w:hAnsi="Roboto"/>
                  </w:rPr>
                  <w:t>Click or tap here to enter text.</w:t>
                </w:r>
              </w:p>
            </w:tc>
          </w:sdtContent>
        </w:sdt>
      </w:tr>
      <w:tr w:rsidR="00405940" w:rsidRPr="004E0E1B" w14:paraId="33CF6BAD" w14:textId="77777777" w:rsidTr="004362DF">
        <w:trPr>
          <w:trHeight w:val="20"/>
        </w:trPr>
        <w:tc>
          <w:tcPr>
            <w:tcW w:w="5346" w:type="dxa"/>
            <w:vAlign w:val="center"/>
          </w:tcPr>
          <w:p w14:paraId="2611A369" w14:textId="77777777" w:rsidR="00405940" w:rsidRPr="004E0E1B" w:rsidRDefault="00405940" w:rsidP="004362DF">
            <w:pPr>
              <w:ind w:left="360"/>
              <w:rPr>
                <w:rFonts w:ascii="Roboto" w:hAnsi="Roboto"/>
                <w:b/>
              </w:rPr>
            </w:pPr>
            <w:r w:rsidRPr="004E0E1B">
              <w:rPr>
                <w:rFonts w:ascii="Roboto" w:hAnsi="Roboto"/>
                <w:b/>
              </w:rPr>
              <w:t>Does the group already benefit from an intragroup clearing or margin exemption for counterparties mentioned above?</w:t>
            </w:r>
          </w:p>
        </w:tc>
        <w:sdt>
          <w:sdtPr>
            <w:rPr>
              <w:rStyle w:val="PlaceholderText"/>
              <w:rFonts w:ascii="Roboto" w:hAnsi="Roboto"/>
            </w:rPr>
            <w:id w:val="-745034565"/>
            <w:placeholder>
              <w:docPart w:val="DefaultPlaceholder_-1854013440"/>
            </w:placeholder>
          </w:sdtPr>
          <w:sdtContent>
            <w:tc>
              <w:tcPr>
                <w:tcW w:w="3655" w:type="dxa"/>
              </w:tcPr>
              <w:p w14:paraId="0DB6AB1F" w14:textId="7B00D3D9" w:rsidR="00405940" w:rsidRPr="004E0E1B" w:rsidRDefault="00405940" w:rsidP="004362DF">
                <w:pPr>
                  <w:ind w:left="67"/>
                  <w:rPr>
                    <w:rFonts w:ascii="Roboto" w:hAnsi="Roboto"/>
                  </w:rPr>
                </w:pPr>
                <w:r w:rsidRPr="004E0E1B">
                  <w:rPr>
                    <w:rStyle w:val="PlaceholderText"/>
                    <w:rFonts w:ascii="Roboto" w:hAnsi="Roboto"/>
                  </w:rPr>
                  <w:t>Click or tap here to enter text.</w:t>
                </w:r>
              </w:p>
            </w:tc>
          </w:sdtContent>
        </w:sdt>
      </w:tr>
    </w:tbl>
    <w:p w14:paraId="37629428" w14:textId="77777777" w:rsidR="00B4165A" w:rsidRPr="004E0E1B" w:rsidRDefault="00B4165A" w:rsidP="00273385">
      <w:pPr>
        <w:rPr>
          <w:rFonts w:ascii="Roboto" w:hAnsi="Roboto"/>
          <w:noProof/>
          <w:lang w:eastAsia="en-GB"/>
        </w:rPr>
      </w:pP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8"/>
        <w:gridCol w:w="3698"/>
      </w:tblGrid>
      <w:tr w:rsidR="00273385" w:rsidRPr="004E0E1B" w14:paraId="688EC9A5" w14:textId="77777777" w:rsidTr="004362DF">
        <w:trPr>
          <w:trHeight w:val="409"/>
        </w:trPr>
        <w:tc>
          <w:tcPr>
            <w:tcW w:w="9106" w:type="dxa"/>
            <w:gridSpan w:val="2"/>
            <w:shd w:val="clear" w:color="auto" w:fill="0B1A34"/>
            <w:vAlign w:val="bottom"/>
          </w:tcPr>
          <w:p w14:paraId="5BDA80DF" w14:textId="77777777" w:rsidR="00273385" w:rsidRPr="004E0E1B" w:rsidRDefault="00273385" w:rsidP="004362DF">
            <w:pPr>
              <w:jc w:val="left"/>
              <w:rPr>
                <w:rFonts w:ascii="Roboto" w:hAnsi="Roboto"/>
                <w:color w:val="FFFFFF"/>
              </w:rPr>
            </w:pPr>
            <w:r w:rsidRPr="004E0E1B">
              <w:rPr>
                <w:rFonts w:ascii="Roboto" w:hAnsi="Roboto"/>
                <w:color w:val="FFFFFF"/>
              </w:rPr>
              <w:t xml:space="preserve">Transaction Risk Management details </w:t>
            </w:r>
          </w:p>
        </w:tc>
      </w:tr>
      <w:tr w:rsidR="00405940" w:rsidRPr="004E0E1B" w14:paraId="358370D6" w14:textId="77777777" w:rsidTr="004362DF">
        <w:trPr>
          <w:trHeight w:val="16"/>
        </w:trPr>
        <w:tc>
          <w:tcPr>
            <w:tcW w:w="5408" w:type="dxa"/>
            <w:vAlign w:val="center"/>
          </w:tcPr>
          <w:p w14:paraId="48DAA897" w14:textId="77777777" w:rsidR="00405940" w:rsidRPr="004E0E1B" w:rsidRDefault="00405940" w:rsidP="00405940">
            <w:pPr>
              <w:rPr>
                <w:rFonts w:ascii="Roboto" w:hAnsi="Roboto"/>
                <w:b/>
              </w:rPr>
            </w:pPr>
            <w:r w:rsidRPr="004E0E1B">
              <w:rPr>
                <w:rFonts w:ascii="Roboto" w:hAnsi="Roboto"/>
                <w:b/>
              </w:rPr>
              <w:t>Describe the risk management policies and controls and how they are centrally defined and applied.</w:t>
            </w:r>
          </w:p>
        </w:tc>
        <w:sdt>
          <w:sdtPr>
            <w:rPr>
              <w:rStyle w:val="PlaceholderText"/>
              <w:rFonts w:ascii="Roboto" w:hAnsi="Roboto"/>
            </w:rPr>
            <w:id w:val="205688327"/>
            <w:placeholder>
              <w:docPart w:val="DefaultPlaceholder_-1854013440"/>
            </w:placeholder>
          </w:sdtPr>
          <w:sdtContent>
            <w:tc>
              <w:tcPr>
                <w:tcW w:w="3698" w:type="dxa"/>
              </w:tcPr>
              <w:p w14:paraId="0782870B" w14:textId="3F0A385E" w:rsidR="00405940" w:rsidRPr="004E0E1B" w:rsidRDefault="00405940" w:rsidP="00405940">
                <w:pPr>
                  <w:rPr>
                    <w:rFonts w:ascii="Roboto" w:hAnsi="Roboto"/>
                  </w:rPr>
                </w:pPr>
                <w:r w:rsidRPr="004E0E1B">
                  <w:rPr>
                    <w:rStyle w:val="PlaceholderText"/>
                    <w:rFonts w:ascii="Roboto" w:hAnsi="Roboto"/>
                  </w:rPr>
                  <w:t>Click or tap here to enter text.</w:t>
                </w:r>
              </w:p>
            </w:tc>
          </w:sdtContent>
        </w:sdt>
      </w:tr>
      <w:tr w:rsidR="00405940" w:rsidRPr="004E0E1B" w14:paraId="24276B6C" w14:textId="77777777" w:rsidTr="004362DF">
        <w:trPr>
          <w:trHeight w:val="16"/>
        </w:trPr>
        <w:tc>
          <w:tcPr>
            <w:tcW w:w="5408" w:type="dxa"/>
            <w:vAlign w:val="center"/>
          </w:tcPr>
          <w:p w14:paraId="0E8C924B" w14:textId="77777777" w:rsidR="00405940" w:rsidRPr="004E0E1B" w:rsidRDefault="00405940" w:rsidP="00405940">
            <w:pPr>
              <w:rPr>
                <w:rFonts w:ascii="Roboto" w:hAnsi="Roboto"/>
                <w:b/>
              </w:rPr>
            </w:pPr>
            <w:r w:rsidRPr="004E0E1B">
              <w:rPr>
                <w:rFonts w:ascii="Roboto" w:hAnsi="Roboto"/>
                <w:b/>
              </w:rPr>
              <w:t>Demonstrate that senior management is responsible for risk management and that risk measurement is regularly reviewed.</w:t>
            </w:r>
          </w:p>
        </w:tc>
        <w:sdt>
          <w:sdtPr>
            <w:rPr>
              <w:rStyle w:val="PlaceholderText"/>
              <w:rFonts w:ascii="Roboto" w:hAnsi="Roboto"/>
            </w:rPr>
            <w:id w:val="-195084115"/>
            <w:placeholder>
              <w:docPart w:val="DefaultPlaceholder_-1854013440"/>
            </w:placeholder>
          </w:sdtPr>
          <w:sdtContent>
            <w:tc>
              <w:tcPr>
                <w:tcW w:w="3698" w:type="dxa"/>
              </w:tcPr>
              <w:p w14:paraId="41D504D6" w14:textId="0431810A" w:rsidR="00405940" w:rsidRPr="004E0E1B" w:rsidRDefault="00405940" w:rsidP="00405940">
                <w:pPr>
                  <w:rPr>
                    <w:rFonts w:ascii="Roboto" w:hAnsi="Roboto"/>
                  </w:rPr>
                </w:pPr>
                <w:r w:rsidRPr="004E0E1B">
                  <w:rPr>
                    <w:rStyle w:val="PlaceholderText"/>
                    <w:rFonts w:ascii="Roboto" w:hAnsi="Roboto"/>
                  </w:rPr>
                  <w:t>Click or tap here to enter text.</w:t>
                </w:r>
              </w:p>
            </w:tc>
          </w:sdtContent>
        </w:sdt>
      </w:tr>
      <w:tr w:rsidR="00405940" w:rsidRPr="004E0E1B" w14:paraId="1A87018D" w14:textId="77777777" w:rsidTr="004362DF">
        <w:trPr>
          <w:trHeight w:val="16"/>
        </w:trPr>
        <w:tc>
          <w:tcPr>
            <w:tcW w:w="5408" w:type="dxa"/>
            <w:vAlign w:val="center"/>
          </w:tcPr>
          <w:p w14:paraId="1750D45F" w14:textId="77777777" w:rsidR="00405940" w:rsidRPr="004E0E1B" w:rsidRDefault="00405940" w:rsidP="00405940">
            <w:pPr>
              <w:rPr>
                <w:rFonts w:ascii="Roboto" w:hAnsi="Roboto"/>
                <w:b/>
              </w:rPr>
            </w:pPr>
            <w:r w:rsidRPr="004E0E1B">
              <w:rPr>
                <w:rFonts w:ascii="Roboto" w:hAnsi="Roboto"/>
                <w:b/>
              </w:rPr>
              <w:lastRenderedPageBreak/>
              <w:t>Demonstrate that regular and transparent communication mechanisms are established within the organisation, so that the management body, senior management, business lines, the risk management function and other control functions can all share information about risk measurement, analysis and monitoring.</w:t>
            </w:r>
          </w:p>
        </w:tc>
        <w:sdt>
          <w:sdtPr>
            <w:rPr>
              <w:rStyle w:val="PlaceholderText"/>
              <w:rFonts w:ascii="Roboto" w:hAnsi="Roboto"/>
            </w:rPr>
            <w:id w:val="1011180924"/>
            <w:placeholder>
              <w:docPart w:val="DefaultPlaceholder_-1854013440"/>
            </w:placeholder>
          </w:sdtPr>
          <w:sdtContent>
            <w:tc>
              <w:tcPr>
                <w:tcW w:w="3698" w:type="dxa"/>
              </w:tcPr>
              <w:p w14:paraId="12EFF497" w14:textId="37DFC202" w:rsidR="00405940" w:rsidRPr="004E0E1B" w:rsidRDefault="00405940" w:rsidP="00405940">
                <w:pPr>
                  <w:rPr>
                    <w:rFonts w:ascii="Roboto" w:hAnsi="Roboto"/>
                  </w:rPr>
                </w:pPr>
                <w:r w:rsidRPr="004E0E1B">
                  <w:rPr>
                    <w:rStyle w:val="PlaceholderText"/>
                    <w:rFonts w:ascii="Roboto" w:hAnsi="Roboto"/>
                  </w:rPr>
                  <w:t>Click or tap here to enter text.</w:t>
                </w:r>
              </w:p>
            </w:tc>
          </w:sdtContent>
        </w:sdt>
      </w:tr>
      <w:tr w:rsidR="00405940" w:rsidRPr="004E0E1B" w14:paraId="0C8C0634" w14:textId="77777777" w:rsidTr="004362DF">
        <w:trPr>
          <w:trHeight w:val="16"/>
        </w:trPr>
        <w:tc>
          <w:tcPr>
            <w:tcW w:w="5408" w:type="dxa"/>
            <w:vAlign w:val="center"/>
          </w:tcPr>
          <w:p w14:paraId="485336A5" w14:textId="77777777" w:rsidR="00405940" w:rsidRPr="004E0E1B" w:rsidRDefault="00405940" w:rsidP="00405940">
            <w:pPr>
              <w:rPr>
                <w:rFonts w:ascii="Roboto" w:hAnsi="Roboto"/>
                <w:b/>
              </w:rPr>
            </w:pPr>
            <w:r w:rsidRPr="004E0E1B">
              <w:rPr>
                <w:rFonts w:ascii="Roboto" w:hAnsi="Roboto"/>
                <w:b/>
              </w:rPr>
              <w:t>Demonstrate that internal procedures and information systems are consistent throughout the institution and reliable so that all sources of relevant risks can be identified, measured, and monitored on an aggregated basis and also, to the extent necessary, by entity, business line, and portfolio.</w:t>
            </w:r>
          </w:p>
        </w:tc>
        <w:sdt>
          <w:sdtPr>
            <w:rPr>
              <w:rStyle w:val="PlaceholderText"/>
              <w:rFonts w:ascii="Roboto" w:hAnsi="Roboto"/>
            </w:rPr>
            <w:id w:val="518505689"/>
            <w:placeholder>
              <w:docPart w:val="DefaultPlaceholder_-1854013440"/>
            </w:placeholder>
          </w:sdtPr>
          <w:sdtContent>
            <w:tc>
              <w:tcPr>
                <w:tcW w:w="3698" w:type="dxa"/>
              </w:tcPr>
              <w:p w14:paraId="3B64292A" w14:textId="15CA5D8D" w:rsidR="00405940" w:rsidRPr="004E0E1B" w:rsidRDefault="00405940" w:rsidP="00405940">
                <w:pPr>
                  <w:rPr>
                    <w:rFonts w:ascii="Roboto" w:hAnsi="Roboto"/>
                  </w:rPr>
                </w:pPr>
                <w:r w:rsidRPr="004E0E1B">
                  <w:rPr>
                    <w:rStyle w:val="PlaceholderText"/>
                    <w:rFonts w:ascii="Roboto" w:hAnsi="Roboto"/>
                  </w:rPr>
                  <w:t>Click or tap here to enter text.</w:t>
                </w:r>
              </w:p>
            </w:tc>
          </w:sdtContent>
        </w:sdt>
      </w:tr>
      <w:tr w:rsidR="00405940" w:rsidRPr="004E0E1B" w14:paraId="4FE7AB9E" w14:textId="77777777" w:rsidTr="004362DF">
        <w:trPr>
          <w:trHeight w:val="1420"/>
        </w:trPr>
        <w:tc>
          <w:tcPr>
            <w:tcW w:w="5408" w:type="dxa"/>
            <w:vAlign w:val="center"/>
          </w:tcPr>
          <w:p w14:paraId="72D6B97A" w14:textId="77777777" w:rsidR="00405940" w:rsidRPr="004E0E1B" w:rsidRDefault="00405940" w:rsidP="00405940">
            <w:pPr>
              <w:rPr>
                <w:rFonts w:ascii="Roboto" w:hAnsi="Roboto"/>
                <w:b/>
              </w:rPr>
            </w:pPr>
            <w:r w:rsidRPr="004E0E1B">
              <w:rPr>
                <w:rFonts w:ascii="Roboto" w:hAnsi="Roboto"/>
                <w:b/>
              </w:rPr>
              <w:t>Demonstrate how the key risk information is regularly reported to the central risk management function to enable appropriate centralised evaluation, measurement and control risk across the relevant group entities.</w:t>
            </w:r>
          </w:p>
        </w:tc>
        <w:sdt>
          <w:sdtPr>
            <w:rPr>
              <w:rStyle w:val="PlaceholderText"/>
              <w:rFonts w:ascii="Roboto" w:hAnsi="Roboto"/>
            </w:rPr>
            <w:id w:val="-1473900431"/>
            <w:placeholder>
              <w:docPart w:val="DefaultPlaceholder_-1854013440"/>
            </w:placeholder>
          </w:sdtPr>
          <w:sdtContent>
            <w:tc>
              <w:tcPr>
                <w:tcW w:w="3698" w:type="dxa"/>
              </w:tcPr>
              <w:p w14:paraId="32966D30" w14:textId="70CF1988" w:rsidR="00405940" w:rsidRPr="004E0E1B" w:rsidRDefault="00405940" w:rsidP="00405940">
                <w:pPr>
                  <w:rPr>
                    <w:rFonts w:ascii="Roboto" w:hAnsi="Roboto"/>
                  </w:rPr>
                </w:pPr>
                <w:r w:rsidRPr="004E0E1B">
                  <w:rPr>
                    <w:rStyle w:val="PlaceholderText"/>
                    <w:rFonts w:ascii="Roboto" w:hAnsi="Roboto"/>
                  </w:rPr>
                  <w:t>Click or tap here to enter text.</w:t>
                </w:r>
              </w:p>
            </w:tc>
          </w:sdtContent>
        </w:sdt>
      </w:tr>
    </w:tbl>
    <w:p w14:paraId="05AFBCCB" w14:textId="77777777" w:rsidR="00273385" w:rsidRPr="00965E1D" w:rsidRDefault="00273385" w:rsidP="00965E1D"/>
    <w:p w14:paraId="41EA7CE8" w14:textId="77777777" w:rsidR="00273385" w:rsidRPr="00965E1D" w:rsidRDefault="00273385" w:rsidP="00965E1D"/>
    <w:p w14:paraId="5BC69CDB" w14:textId="77777777" w:rsidR="00B4165A" w:rsidRPr="004E0E1B" w:rsidRDefault="00B4165A" w:rsidP="001A3F35">
      <w:pPr>
        <w:rPr>
          <w:rFonts w:ascii="Roboto" w:hAnsi="Roboto"/>
        </w:rPr>
      </w:pPr>
    </w:p>
    <w:p w14:paraId="6D7C6FD2" w14:textId="77777777" w:rsidR="00CA7902" w:rsidRPr="004E0E1B" w:rsidRDefault="00CA7902">
      <w:pPr>
        <w:spacing w:after="160" w:line="259" w:lineRule="auto"/>
        <w:jc w:val="left"/>
        <w:rPr>
          <w:rFonts w:ascii="Roboto" w:hAnsi="Roboto"/>
        </w:rPr>
      </w:pPr>
      <w:r w:rsidRPr="004E0E1B">
        <w:rPr>
          <w:rFonts w:ascii="Roboto" w:hAnsi="Roboto"/>
        </w:rPr>
        <w:br w:type="page"/>
      </w:r>
    </w:p>
    <w:p w14:paraId="59DACB91" w14:textId="0C145675" w:rsidR="00CA7902" w:rsidRPr="004E0E1B" w:rsidRDefault="005560EC" w:rsidP="00CA7902">
      <w:pPr>
        <w:pStyle w:val="Heading1"/>
        <w:rPr>
          <w:rFonts w:ascii="Roboto" w:hAnsi="Roboto"/>
        </w:rPr>
      </w:pPr>
      <w:r w:rsidRPr="004E0E1B">
        <w:rPr>
          <w:rFonts w:ascii="Roboto" w:hAnsi="Roboto"/>
        </w:rPr>
        <w:lastRenderedPageBreak/>
        <w:drawing>
          <wp:anchor distT="0" distB="0" distL="114300" distR="114300" simplePos="0" relativeHeight="251656704" behindDoc="0" locked="0" layoutInCell="1" allowOverlap="1" wp14:anchorId="2D77F228" wp14:editId="3E02CA36">
            <wp:simplePos x="0" y="0"/>
            <wp:positionH relativeFrom="margin">
              <wp:posOffset>0</wp:posOffset>
            </wp:positionH>
            <wp:positionV relativeFrom="paragraph">
              <wp:posOffset>481330</wp:posOffset>
            </wp:positionV>
            <wp:extent cx="713740" cy="168275"/>
            <wp:effectExtent l="0" t="0" r="0" b="0"/>
            <wp:wrapThrough wrapText="bothSides">
              <wp:wrapPolygon edited="0">
                <wp:start x="0" y="0"/>
                <wp:lineTo x="0" y="19562"/>
                <wp:lineTo x="20754" y="19562"/>
                <wp:lineTo x="20754" y="0"/>
                <wp:lineTo x="0" y="0"/>
              </wp:wrapPolygon>
            </wp:wrapThrough>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l="11800" t="19539"/>
                    <a:stretch>
                      <a:fillRect/>
                    </a:stretch>
                  </pic:blipFill>
                  <pic:spPr bwMode="auto">
                    <a:xfrm>
                      <a:off x="0" y="0"/>
                      <a:ext cx="713740" cy="168275"/>
                    </a:xfrm>
                    <a:prstGeom prst="rect">
                      <a:avLst/>
                    </a:prstGeom>
                    <a:noFill/>
                  </pic:spPr>
                </pic:pic>
              </a:graphicData>
            </a:graphic>
            <wp14:sizeRelH relativeFrom="page">
              <wp14:pctWidth>0</wp14:pctWidth>
            </wp14:sizeRelH>
            <wp14:sizeRelV relativeFrom="page">
              <wp14:pctHeight>0</wp14:pctHeight>
            </wp14:sizeRelV>
          </wp:anchor>
        </w:drawing>
      </w:r>
      <w:r w:rsidR="00B4165A" w:rsidRPr="004E0E1B">
        <w:rPr>
          <w:rFonts w:ascii="Roboto" w:hAnsi="Roboto"/>
        </w:rPr>
        <w:t xml:space="preserve">Annex III - </w:t>
      </w:r>
      <w:r w:rsidR="00CA7902" w:rsidRPr="004E0E1B">
        <w:rPr>
          <w:rFonts w:ascii="Roboto" w:hAnsi="Roboto"/>
        </w:rPr>
        <w:t>Clearing Obligation</w:t>
      </w:r>
    </w:p>
    <w:p w14:paraId="39C05251" w14:textId="77777777" w:rsidR="00CA7902" w:rsidRPr="004E0E1B" w:rsidRDefault="00CA7902" w:rsidP="001A3F35">
      <w:pPr>
        <w:rPr>
          <w:rFonts w:ascii="Roboto" w:hAnsi="Roboto"/>
        </w:rPr>
      </w:pPr>
    </w:p>
    <w:p w14:paraId="2222C2B2" w14:textId="77777777" w:rsidR="00B4165A" w:rsidRPr="004E0E1B" w:rsidRDefault="00B4165A" w:rsidP="00B4165A">
      <w:pPr>
        <w:pStyle w:val="Heading3"/>
        <w:rPr>
          <w:rFonts w:ascii="Roboto" w:hAnsi="Roboto"/>
          <w:lang w:eastAsia="en-GB"/>
        </w:rPr>
      </w:pPr>
      <w:r w:rsidRPr="004E0E1B">
        <w:rPr>
          <w:rFonts w:ascii="Roboto" w:hAnsi="Roboto"/>
          <w:lang w:eastAsia="en-GB"/>
        </w:rPr>
        <w:t>(Optional)</w:t>
      </w:r>
    </w:p>
    <w:p w14:paraId="2A93F544" w14:textId="77777777" w:rsidR="00B4165A" w:rsidRDefault="00B4165A" w:rsidP="001A3F35">
      <w:pPr>
        <w:rPr>
          <w:rFonts w:ascii="Roboto" w:hAnsi="Roboto"/>
        </w:rPr>
      </w:pPr>
    </w:p>
    <w:p w14:paraId="03A5148E" w14:textId="3FBDA8DC" w:rsidR="004E3FB4" w:rsidRPr="004E3FB4" w:rsidRDefault="004E3FB4" w:rsidP="004E3FB4">
      <w:pPr>
        <w:rPr>
          <w:rFonts w:ascii="Roboto" w:hAnsi="Roboto"/>
        </w:rPr>
      </w:pPr>
      <w:r w:rsidRPr="004E3FB4">
        <w:rPr>
          <w:rFonts w:ascii="Roboto" w:hAnsi="Roboto"/>
        </w:rPr>
        <w:t>This Annex is to be completed where the applicant seeks to make use of, or obtain, an intragroup exemption from the clearing obligation under EMIR</w:t>
      </w:r>
      <w:r w:rsidR="0001284B">
        <w:rPr>
          <w:rFonts w:ascii="Roboto" w:hAnsi="Roboto"/>
        </w:rPr>
        <w:t xml:space="preserve"> </w:t>
      </w:r>
      <w:r w:rsidR="0001284B">
        <w:rPr>
          <w:rFonts w:ascii="Roboto" w:hAnsi="Roboto"/>
          <w:lang w:eastAsia="en-GB"/>
        </w:rPr>
        <w:t>as amended</w:t>
      </w:r>
      <w:r w:rsidRPr="004E3FB4">
        <w:rPr>
          <w:rFonts w:ascii="Roboto" w:hAnsi="Roboto"/>
        </w:rPr>
        <w:t>.</w:t>
      </w:r>
    </w:p>
    <w:p w14:paraId="6F123CE3" w14:textId="77777777" w:rsidR="004E3FB4" w:rsidRPr="004E3FB4" w:rsidRDefault="004E3FB4" w:rsidP="004E3FB4">
      <w:pPr>
        <w:rPr>
          <w:rFonts w:ascii="Roboto" w:hAnsi="Roboto"/>
        </w:rPr>
      </w:pPr>
    </w:p>
    <w:p w14:paraId="0155FD33" w14:textId="7121134A" w:rsidR="004E3FB4" w:rsidRDefault="004E3FB4" w:rsidP="001A3F35">
      <w:pPr>
        <w:rPr>
          <w:rFonts w:ascii="Roboto" w:hAnsi="Roboto"/>
        </w:rPr>
      </w:pPr>
      <w:r w:rsidRPr="004E3FB4">
        <w:rPr>
          <w:rFonts w:ascii="Roboto" w:hAnsi="Roboto"/>
        </w:rPr>
        <w:t>Applicants shall provide sufficient transaction-level and risk-management information to enable the Authority to assess the scope of the request, the relevant Article 3 categorisation, and whether the applicable conditions for the exemption are met.</w:t>
      </w:r>
    </w:p>
    <w:p w14:paraId="0EC317F0" w14:textId="77777777" w:rsidR="004E3FB4" w:rsidRPr="004E0E1B" w:rsidRDefault="004E3FB4" w:rsidP="001A3F35">
      <w:pPr>
        <w:rPr>
          <w:rFonts w:ascii="Roboto" w:hAnsi="Roboto"/>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3655"/>
      </w:tblGrid>
      <w:tr w:rsidR="00CA7902" w:rsidRPr="004E0E1B" w14:paraId="5065238F" w14:textId="77777777" w:rsidTr="004362DF">
        <w:trPr>
          <w:trHeight w:val="441"/>
        </w:trPr>
        <w:tc>
          <w:tcPr>
            <w:tcW w:w="9001" w:type="dxa"/>
            <w:gridSpan w:val="2"/>
            <w:shd w:val="clear" w:color="auto" w:fill="0B1A34"/>
            <w:vAlign w:val="bottom"/>
          </w:tcPr>
          <w:p w14:paraId="0934F9F0" w14:textId="77777777" w:rsidR="00CA7902" w:rsidRPr="004E0E1B" w:rsidRDefault="00CA7902" w:rsidP="00965E1D">
            <w:pPr>
              <w:spacing w:before="120" w:after="120"/>
              <w:jc w:val="left"/>
              <w:rPr>
                <w:rFonts w:ascii="Roboto" w:hAnsi="Roboto"/>
                <w:color w:val="FFFFFF"/>
              </w:rPr>
            </w:pPr>
            <w:r w:rsidRPr="004E0E1B">
              <w:rPr>
                <w:rFonts w:ascii="Roboto" w:hAnsi="Roboto"/>
                <w:color w:val="FFFFFF"/>
              </w:rPr>
              <w:t>Transaction details for which exemption is being requested</w:t>
            </w:r>
          </w:p>
        </w:tc>
      </w:tr>
      <w:tr w:rsidR="00405940" w:rsidRPr="004E0E1B" w14:paraId="2581F477" w14:textId="77777777" w:rsidTr="004362DF">
        <w:trPr>
          <w:trHeight w:val="17"/>
        </w:trPr>
        <w:tc>
          <w:tcPr>
            <w:tcW w:w="5346" w:type="dxa"/>
            <w:vAlign w:val="center"/>
          </w:tcPr>
          <w:p w14:paraId="531207B4" w14:textId="77777777" w:rsidR="00405940" w:rsidRPr="004E0E1B" w:rsidRDefault="00405940" w:rsidP="00965E1D">
            <w:pPr>
              <w:spacing w:before="120" w:after="120"/>
              <w:rPr>
                <w:rFonts w:ascii="Roboto" w:hAnsi="Roboto"/>
                <w:b/>
              </w:rPr>
            </w:pPr>
            <w:r w:rsidRPr="004E0E1B">
              <w:rPr>
                <w:rFonts w:ascii="Roboto" w:hAnsi="Roboto"/>
                <w:b/>
              </w:rPr>
              <w:t>Asset class of OTC derivative contract:</w:t>
            </w:r>
          </w:p>
        </w:tc>
        <w:sdt>
          <w:sdtPr>
            <w:rPr>
              <w:rStyle w:val="PlaceholderText"/>
              <w:rFonts w:ascii="Roboto" w:hAnsi="Roboto"/>
            </w:rPr>
            <w:id w:val="-887573703"/>
            <w:placeholder>
              <w:docPart w:val="DefaultPlaceholder_-1854013440"/>
            </w:placeholder>
          </w:sdtPr>
          <w:sdtContent>
            <w:tc>
              <w:tcPr>
                <w:tcW w:w="3655" w:type="dxa"/>
              </w:tcPr>
              <w:p w14:paraId="75BE6DA9" w14:textId="7620DB5D"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r w:rsidR="00405940" w:rsidRPr="004E0E1B" w14:paraId="1AF647E2" w14:textId="77777777" w:rsidTr="004362DF">
        <w:trPr>
          <w:trHeight w:val="17"/>
        </w:trPr>
        <w:tc>
          <w:tcPr>
            <w:tcW w:w="5346" w:type="dxa"/>
            <w:vAlign w:val="center"/>
          </w:tcPr>
          <w:p w14:paraId="058C4DAE" w14:textId="77777777" w:rsidR="00405940" w:rsidRPr="004E0E1B" w:rsidRDefault="00405940" w:rsidP="00965E1D">
            <w:pPr>
              <w:spacing w:before="120" w:after="120"/>
              <w:rPr>
                <w:rFonts w:ascii="Roboto" w:hAnsi="Roboto"/>
                <w:b/>
              </w:rPr>
            </w:pPr>
            <w:r w:rsidRPr="004E0E1B">
              <w:rPr>
                <w:rFonts w:ascii="Roboto" w:hAnsi="Roboto"/>
                <w:b/>
              </w:rPr>
              <w:t>Type of OTC derivative contract:</w:t>
            </w:r>
          </w:p>
        </w:tc>
        <w:sdt>
          <w:sdtPr>
            <w:rPr>
              <w:rStyle w:val="PlaceholderText"/>
              <w:rFonts w:ascii="Roboto" w:hAnsi="Roboto"/>
            </w:rPr>
            <w:id w:val="-683677529"/>
            <w:placeholder>
              <w:docPart w:val="DefaultPlaceholder_-1854013440"/>
            </w:placeholder>
          </w:sdtPr>
          <w:sdtContent>
            <w:tc>
              <w:tcPr>
                <w:tcW w:w="3655" w:type="dxa"/>
              </w:tcPr>
              <w:p w14:paraId="728CB485" w14:textId="18901C72"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r w:rsidR="00405940" w:rsidRPr="004E0E1B" w14:paraId="2705AD4C" w14:textId="77777777" w:rsidTr="004362DF">
        <w:trPr>
          <w:trHeight w:val="17"/>
        </w:trPr>
        <w:tc>
          <w:tcPr>
            <w:tcW w:w="5346" w:type="dxa"/>
            <w:vAlign w:val="center"/>
          </w:tcPr>
          <w:p w14:paraId="75305C6D" w14:textId="77777777" w:rsidR="00405940" w:rsidRPr="004E0E1B" w:rsidRDefault="00405940" w:rsidP="00965E1D">
            <w:pPr>
              <w:spacing w:before="120" w:after="120"/>
              <w:rPr>
                <w:rFonts w:ascii="Roboto" w:hAnsi="Roboto"/>
                <w:b/>
              </w:rPr>
            </w:pPr>
            <w:r w:rsidRPr="004E0E1B">
              <w:rPr>
                <w:rFonts w:ascii="Roboto" w:hAnsi="Roboto"/>
                <w:b/>
              </w:rPr>
              <w:t>Type of underlying:</w:t>
            </w:r>
          </w:p>
        </w:tc>
        <w:sdt>
          <w:sdtPr>
            <w:rPr>
              <w:rStyle w:val="PlaceholderText"/>
              <w:rFonts w:ascii="Roboto" w:hAnsi="Roboto"/>
            </w:rPr>
            <w:id w:val="-210035589"/>
            <w:placeholder>
              <w:docPart w:val="DefaultPlaceholder_-1854013440"/>
            </w:placeholder>
          </w:sdtPr>
          <w:sdtContent>
            <w:tc>
              <w:tcPr>
                <w:tcW w:w="3655" w:type="dxa"/>
              </w:tcPr>
              <w:p w14:paraId="5B56ABB2" w14:textId="05D5E4FB"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r w:rsidR="00405940" w:rsidRPr="004E0E1B" w14:paraId="4EE9D435" w14:textId="77777777" w:rsidTr="004362DF">
        <w:trPr>
          <w:trHeight w:val="17"/>
        </w:trPr>
        <w:tc>
          <w:tcPr>
            <w:tcW w:w="5346" w:type="dxa"/>
            <w:vAlign w:val="center"/>
          </w:tcPr>
          <w:p w14:paraId="1FD60A16" w14:textId="77777777" w:rsidR="00405940" w:rsidRPr="004E0E1B" w:rsidRDefault="00405940" w:rsidP="00965E1D">
            <w:pPr>
              <w:spacing w:before="120" w:after="120"/>
              <w:rPr>
                <w:rFonts w:ascii="Roboto" w:hAnsi="Roboto"/>
                <w:b/>
              </w:rPr>
            </w:pPr>
            <w:r w:rsidRPr="004E0E1B">
              <w:rPr>
                <w:rFonts w:ascii="Roboto" w:hAnsi="Roboto"/>
                <w:b/>
              </w:rPr>
              <w:t>Notional and settlement currencies:</w:t>
            </w:r>
          </w:p>
        </w:tc>
        <w:sdt>
          <w:sdtPr>
            <w:rPr>
              <w:rStyle w:val="PlaceholderText"/>
              <w:rFonts w:ascii="Roboto" w:hAnsi="Roboto"/>
            </w:rPr>
            <w:id w:val="-369380920"/>
            <w:placeholder>
              <w:docPart w:val="DefaultPlaceholder_-1854013440"/>
            </w:placeholder>
          </w:sdtPr>
          <w:sdtContent>
            <w:tc>
              <w:tcPr>
                <w:tcW w:w="3655" w:type="dxa"/>
              </w:tcPr>
              <w:p w14:paraId="714DC0C9" w14:textId="0730C4E5"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r w:rsidR="00405940" w:rsidRPr="004E0E1B" w14:paraId="5A4C120E" w14:textId="77777777" w:rsidTr="004362DF">
        <w:trPr>
          <w:trHeight w:val="17"/>
        </w:trPr>
        <w:tc>
          <w:tcPr>
            <w:tcW w:w="5346" w:type="dxa"/>
            <w:vAlign w:val="center"/>
          </w:tcPr>
          <w:p w14:paraId="7B7ED263" w14:textId="77777777" w:rsidR="00405940" w:rsidRPr="004E0E1B" w:rsidRDefault="00405940" w:rsidP="00965E1D">
            <w:pPr>
              <w:spacing w:before="120" w:after="120"/>
              <w:rPr>
                <w:rFonts w:ascii="Roboto" w:hAnsi="Roboto"/>
                <w:b/>
              </w:rPr>
            </w:pPr>
            <w:r w:rsidRPr="004E0E1B">
              <w:rPr>
                <w:rFonts w:ascii="Roboto" w:hAnsi="Roboto"/>
                <w:b/>
              </w:rPr>
              <w:t>Range of contract tenors:</w:t>
            </w:r>
          </w:p>
        </w:tc>
        <w:sdt>
          <w:sdtPr>
            <w:rPr>
              <w:rStyle w:val="PlaceholderText"/>
              <w:rFonts w:ascii="Roboto" w:hAnsi="Roboto"/>
            </w:rPr>
            <w:id w:val="1893070078"/>
            <w:placeholder>
              <w:docPart w:val="DefaultPlaceholder_-1854013440"/>
            </w:placeholder>
          </w:sdtPr>
          <w:sdtContent>
            <w:tc>
              <w:tcPr>
                <w:tcW w:w="3655" w:type="dxa"/>
              </w:tcPr>
              <w:p w14:paraId="4B5A17B3" w14:textId="30FEC226"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r w:rsidR="00405940" w:rsidRPr="004E0E1B" w14:paraId="24536E84" w14:textId="77777777" w:rsidTr="004362DF">
        <w:trPr>
          <w:trHeight w:val="17"/>
        </w:trPr>
        <w:tc>
          <w:tcPr>
            <w:tcW w:w="5346" w:type="dxa"/>
            <w:vAlign w:val="center"/>
          </w:tcPr>
          <w:p w14:paraId="335D8FBC" w14:textId="77777777" w:rsidR="00405940" w:rsidRPr="004E0E1B" w:rsidRDefault="00405940" w:rsidP="00965E1D">
            <w:pPr>
              <w:spacing w:before="120" w:after="120"/>
              <w:rPr>
                <w:rFonts w:ascii="Roboto" w:hAnsi="Roboto"/>
                <w:b/>
              </w:rPr>
            </w:pPr>
            <w:r w:rsidRPr="004E0E1B">
              <w:rPr>
                <w:rFonts w:ascii="Roboto" w:hAnsi="Roboto"/>
                <w:b/>
              </w:rPr>
              <w:t>Settlement type:</w:t>
            </w:r>
          </w:p>
        </w:tc>
        <w:sdt>
          <w:sdtPr>
            <w:rPr>
              <w:rStyle w:val="PlaceholderText"/>
              <w:rFonts w:ascii="Roboto" w:hAnsi="Roboto"/>
            </w:rPr>
            <w:id w:val="107246241"/>
            <w:placeholder>
              <w:docPart w:val="DefaultPlaceholder_-1854013440"/>
            </w:placeholder>
          </w:sdtPr>
          <w:sdtContent>
            <w:tc>
              <w:tcPr>
                <w:tcW w:w="3655" w:type="dxa"/>
              </w:tcPr>
              <w:p w14:paraId="275FE14F" w14:textId="5574F6F0"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r w:rsidR="00405940" w:rsidRPr="004E0E1B" w14:paraId="250041EF" w14:textId="77777777" w:rsidTr="004362DF">
        <w:trPr>
          <w:trHeight w:val="17"/>
        </w:trPr>
        <w:tc>
          <w:tcPr>
            <w:tcW w:w="5346" w:type="dxa"/>
            <w:vAlign w:val="center"/>
          </w:tcPr>
          <w:p w14:paraId="2FC37720" w14:textId="77777777" w:rsidR="00405940" w:rsidRPr="004E0E1B" w:rsidRDefault="00405940" w:rsidP="00965E1D">
            <w:pPr>
              <w:spacing w:before="120" w:after="120"/>
              <w:rPr>
                <w:rFonts w:ascii="Roboto" w:hAnsi="Roboto"/>
                <w:b/>
              </w:rPr>
            </w:pPr>
            <w:r w:rsidRPr="004E0E1B">
              <w:rPr>
                <w:rFonts w:ascii="Roboto" w:hAnsi="Roboto"/>
                <w:b/>
              </w:rPr>
              <w:t>Anticipated size, volumes and frequency of OTC derivative contracts per annum:</w:t>
            </w:r>
          </w:p>
        </w:tc>
        <w:sdt>
          <w:sdtPr>
            <w:rPr>
              <w:rStyle w:val="PlaceholderText"/>
              <w:rFonts w:ascii="Roboto" w:hAnsi="Roboto"/>
            </w:rPr>
            <w:id w:val="1946801497"/>
            <w:placeholder>
              <w:docPart w:val="DefaultPlaceholder_-1854013440"/>
            </w:placeholder>
          </w:sdtPr>
          <w:sdtContent>
            <w:tc>
              <w:tcPr>
                <w:tcW w:w="3655" w:type="dxa"/>
              </w:tcPr>
              <w:p w14:paraId="78BDD0CD" w14:textId="0D380AD9"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bl>
    <w:p w14:paraId="15EE323D" w14:textId="77777777" w:rsidR="00CA7902" w:rsidRPr="004E0E1B" w:rsidRDefault="00CA7902" w:rsidP="001A3F35">
      <w:pPr>
        <w:rPr>
          <w:rFonts w:ascii="Roboto" w:hAnsi="Roboto"/>
        </w:rPr>
      </w:pP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8"/>
        <w:gridCol w:w="3698"/>
      </w:tblGrid>
      <w:tr w:rsidR="00475FBD" w:rsidRPr="004E0E1B" w14:paraId="0FFF06A0" w14:textId="77777777" w:rsidTr="004362DF">
        <w:trPr>
          <w:trHeight w:val="409"/>
        </w:trPr>
        <w:tc>
          <w:tcPr>
            <w:tcW w:w="9106" w:type="dxa"/>
            <w:gridSpan w:val="2"/>
            <w:shd w:val="clear" w:color="auto" w:fill="0B1A34"/>
            <w:vAlign w:val="bottom"/>
          </w:tcPr>
          <w:p w14:paraId="6E09FB6A" w14:textId="77777777" w:rsidR="00475FBD" w:rsidRPr="004E0E1B" w:rsidRDefault="00475FBD" w:rsidP="00965E1D">
            <w:pPr>
              <w:spacing w:before="120" w:after="120"/>
              <w:jc w:val="left"/>
              <w:rPr>
                <w:rFonts w:ascii="Roboto" w:hAnsi="Roboto"/>
                <w:color w:val="FFFFFF"/>
              </w:rPr>
            </w:pPr>
            <w:r w:rsidRPr="004E0E1B">
              <w:rPr>
                <w:rFonts w:ascii="Roboto" w:hAnsi="Roboto"/>
                <w:color w:val="FFFFFF"/>
              </w:rPr>
              <w:t xml:space="preserve">Transaction Risk Management details </w:t>
            </w:r>
          </w:p>
        </w:tc>
      </w:tr>
      <w:tr w:rsidR="00405940" w:rsidRPr="004E0E1B" w14:paraId="1328D00A" w14:textId="77777777" w:rsidTr="004362DF">
        <w:trPr>
          <w:trHeight w:val="16"/>
        </w:trPr>
        <w:tc>
          <w:tcPr>
            <w:tcW w:w="5408" w:type="dxa"/>
            <w:vAlign w:val="center"/>
          </w:tcPr>
          <w:p w14:paraId="45ADD801" w14:textId="77777777" w:rsidR="00405940" w:rsidRPr="004E0E1B" w:rsidRDefault="00405940" w:rsidP="00965E1D">
            <w:pPr>
              <w:spacing w:before="120" w:after="120"/>
              <w:rPr>
                <w:rFonts w:ascii="Roboto" w:hAnsi="Roboto"/>
                <w:b/>
              </w:rPr>
            </w:pPr>
            <w:r w:rsidRPr="004E0E1B">
              <w:rPr>
                <w:rFonts w:ascii="Roboto" w:hAnsi="Roboto"/>
                <w:b/>
              </w:rPr>
              <w:t>Describe the risk management policies and controls and how they are centrally defined and applied.</w:t>
            </w:r>
          </w:p>
        </w:tc>
        <w:sdt>
          <w:sdtPr>
            <w:rPr>
              <w:rStyle w:val="PlaceholderText"/>
              <w:rFonts w:ascii="Roboto" w:hAnsi="Roboto"/>
            </w:rPr>
            <w:id w:val="-1979293748"/>
            <w:placeholder>
              <w:docPart w:val="DefaultPlaceholder_-1854013440"/>
            </w:placeholder>
          </w:sdtPr>
          <w:sdtContent>
            <w:tc>
              <w:tcPr>
                <w:tcW w:w="3698" w:type="dxa"/>
              </w:tcPr>
              <w:p w14:paraId="39447AD3" w14:textId="5DC0B598"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r w:rsidR="00405940" w:rsidRPr="004E0E1B" w14:paraId="5614CF11" w14:textId="77777777" w:rsidTr="004362DF">
        <w:trPr>
          <w:trHeight w:val="16"/>
        </w:trPr>
        <w:tc>
          <w:tcPr>
            <w:tcW w:w="5408" w:type="dxa"/>
            <w:vAlign w:val="center"/>
          </w:tcPr>
          <w:p w14:paraId="1FC1CBE1" w14:textId="77777777" w:rsidR="00405940" w:rsidRPr="004E0E1B" w:rsidRDefault="00405940" w:rsidP="00965E1D">
            <w:pPr>
              <w:spacing w:before="120" w:after="120"/>
              <w:rPr>
                <w:rFonts w:ascii="Roboto" w:hAnsi="Roboto"/>
                <w:b/>
              </w:rPr>
            </w:pPr>
            <w:r w:rsidRPr="004E0E1B">
              <w:rPr>
                <w:rFonts w:ascii="Roboto" w:hAnsi="Roboto"/>
                <w:b/>
              </w:rPr>
              <w:lastRenderedPageBreak/>
              <w:t>Demonstrate that senior management is responsible for risk management and that risk measurement is regularly reviewed.</w:t>
            </w:r>
          </w:p>
        </w:tc>
        <w:sdt>
          <w:sdtPr>
            <w:rPr>
              <w:rStyle w:val="PlaceholderText"/>
              <w:rFonts w:ascii="Roboto" w:hAnsi="Roboto"/>
            </w:rPr>
            <w:id w:val="-1827964827"/>
            <w:placeholder>
              <w:docPart w:val="DefaultPlaceholder_-1854013440"/>
            </w:placeholder>
          </w:sdtPr>
          <w:sdtContent>
            <w:tc>
              <w:tcPr>
                <w:tcW w:w="3698" w:type="dxa"/>
              </w:tcPr>
              <w:p w14:paraId="68B72BB6" w14:textId="39108334"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r w:rsidR="00405940" w:rsidRPr="004E0E1B" w14:paraId="5ECAB9FB" w14:textId="77777777" w:rsidTr="004362DF">
        <w:trPr>
          <w:trHeight w:val="16"/>
        </w:trPr>
        <w:tc>
          <w:tcPr>
            <w:tcW w:w="5408" w:type="dxa"/>
            <w:vAlign w:val="center"/>
          </w:tcPr>
          <w:p w14:paraId="775892DE" w14:textId="77777777" w:rsidR="00405940" w:rsidRPr="004E0E1B" w:rsidRDefault="00405940" w:rsidP="00965E1D">
            <w:pPr>
              <w:spacing w:before="120" w:after="120"/>
              <w:rPr>
                <w:rFonts w:ascii="Roboto" w:hAnsi="Roboto"/>
                <w:b/>
              </w:rPr>
            </w:pPr>
            <w:r w:rsidRPr="004E0E1B">
              <w:rPr>
                <w:rFonts w:ascii="Roboto" w:hAnsi="Roboto"/>
                <w:b/>
              </w:rPr>
              <w:t>Demonstrate that regular and transparent communication mechanisms are established within the organisation, so that the management body, senior management, business lines, the risk management function and other control functions can all share information about risk measurement, analysis and monitoring.</w:t>
            </w:r>
          </w:p>
        </w:tc>
        <w:sdt>
          <w:sdtPr>
            <w:rPr>
              <w:rStyle w:val="PlaceholderText"/>
              <w:rFonts w:ascii="Roboto" w:hAnsi="Roboto"/>
            </w:rPr>
            <w:id w:val="902333371"/>
            <w:placeholder>
              <w:docPart w:val="DefaultPlaceholder_-1854013440"/>
            </w:placeholder>
          </w:sdtPr>
          <w:sdtContent>
            <w:tc>
              <w:tcPr>
                <w:tcW w:w="3698" w:type="dxa"/>
              </w:tcPr>
              <w:p w14:paraId="1C074ABB" w14:textId="703E237C"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r w:rsidR="00405940" w:rsidRPr="004E0E1B" w14:paraId="3EB71F61" w14:textId="77777777" w:rsidTr="004362DF">
        <w:trPr>
          <w:trHeight w:val="16"/>
        </w:trPr>
        <w:tc>
          <w:tcPr>
            <w:tcW w:w="5408" w:type="dxa"/>
            <w:vAlign w:val="center"/>
          </w:tcPr>
          <w:p w14:paraId="224DA80E" w14:textId="77777777" w:rsidR="00405940" w:rsidRPr="004E0E1B" w:rsidRDefault="00405940" w:rsidP="00965E1D">
            <w:pPr>
              <w:spacing w:before="120" w:after="120"/>
              <w:rPr>
                <w:rFonts w:ascii="Roboto" w:hAnsi="Roboto"/>
                <w:b/>
              </w:rPr>
            </w:pPr>
            <w:r w:rsidRPr="004E0E1B">
              <w:rPr>
                <w:rFonts w:ascii="Roboto" w:hAnsi="Roboto"/>
                <w:b/>
              </w:rPr>
              <w:t>Demonstrate that internal procedures and information systems are consistent throughout the institution and reliable so that all sources of relevant risks can be identified, measured, and monitored on an aggregated basis and also, to the extent necessary, by entity, business line, and portfolio.</w:t>
            </w:r>
          </w:p>
        </w:tc>
        <w:sdt>
          <w:sdtPr>
            <w:rPr>
              <w:rStyle w:val="PlaceholderText"/>
              <w:rFonts w:ascii="Roboto" w:hAnsi="Roboto"/>
            </w:rPr>
            <w:id w:val="-1802919058"/>
            <w:placeholder>
              <w:docPart w:val="DefaultPlaceholder_-1854013440"/>
            </w:placeholder>
          </w:sdtPr>
          <w:sdtContent>
            <w:tc>
              <w:tcPr>
                <w:tcW w:w="3698" w:type="dxa"/>
              </w:tcPr>
              <w:p w14:paraId="1834DAB5" w14:textId="591308C9"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r w:rsidR="00405940" w:rsidRPr="004E0E1B" w14:paraId="1E80C485" w14:textId="77777777" w:rsidTr="004362DF">
        <w:trPr>
          <w:trHeight w:val="1420"/>
        </w:trPr>
        <w:tc>
          <w:tcPr>
            <w:tcW w:w="5408" w:type="dxa"/>
            <w:vAlign w:val="center"/>
          </w:tcPr>
          <w:p w14:paraId="123BACF9" w14:textId="77777777" w:rsidR="00405940" w:rsidRPr="004E0E1B" w:rsidRDefault="00405940" w:rsidP="00965E1D">
            <w:pPr>
              <w:spacing w:before="120" w:after="120"/>
              <w:rPr>
                <w:rFonts w:ascii="Roboto" w:hAnsi="Roboto"/>
                <w:b/>
              </w:rPr>
            </w:pPr>
            <w:r w:rsidRPr="004E0E1B">
              <w:rPr>
                <w:rFonts w:ascii="Roboto" w:hAnsi="Roboto"/>
                <w:b/>
              </w:rPr>
              <w:t>Demonstrate how the key risk information is regularly reported to the central risk management function to enable appropriate centralised evaluation, measurement and control risk across the relevant group entities.</w:t>
            </w:r>
          </w:p>
        </w:tc>
        <w:sdt>
          <w:sdtPr>
            <w:rPr>
              <w:rStyle w:val="PlaceholderText"/>
              <w:rFonts w:ascii="Roboto" w:hAnsi="Roboto"/>
            </w:rPr>
            <w:id w:val="-1159525132"/>
            <w:placeholder>
              <w:docPart w:val="DefaultPlaceholder_-1854013440"/>
            </w:placeholder>
          </w:sdtPr>
          <w:sdtContent>
            <w:tc>
              <w:tcPr>
                <w:tcW w:w="3698" w:type="dxa"/>
              </w:tcPr>
              <w:p w14:paraId="1667930B" w14:textId="58BCC8DB" w:rsidR="00405940" w:rsidRPr="004E0E1B" w:rsidRDefault="00405940" w:rsidP="00965E1D">
                <w:pPr>
                  <w:spacing w:before="120" w:after="120"/>
                  <w:rPr>
                    <w:rFonts w:ascii="Roboto" w:hAnsi="Roboto"/>
                  </w:rPr>
                </w:pPr>
                <w:r w:rsidRPr="004E0E1B">
                  <w:rPr>
                    <w:rStyle w:val="PlaceholderText"/>
                    <w:rFonts w:ascii="Roboto" w:hAnsi="Roboto"/>
                  </w:rPr>
                  <w:t>Click or tap here to enter text.</w:t>
                </w:r>
              </w:p>
            </w:tc>
          </w:sdtContent>
        </w:sdt>
      </w:tr>
    </w:tbl>
    <w:p w14:paraId="4CFFECA5" w14:textId="77777777" w:rsidR="009D00DF" w:rsidRPr="004E0E1B" w:rsidRDefault="009D00DF" w:rsidP="001A3F35">
      <w:pPr>
        <w:rPr>
          <w:rFonts w:ascii="Roboto" w:hAnsi="Roboto"/>
        </w:rPr>
      </w:pPr>
    </w:p>
    <w:p w14:paraId="112656FA" w14:textId="77777777" w:rsidR="009D00DF" w:rsidRPr="004E0E1B" w:rsidRDefault="009D00DF">
      <w:pPr>
        <w:spacing w:after="160" w:line="259" w:lineRule="auto"/>
        <w:jc w:val="left"/>
        <w:rPr>
          <w:rFonts w:ascii="Roboto" w:hAnsi="Roboto"/>
        </w:rPr>
      </w:pPr>
      <w:r w:rsidRPr="004E0E1B">
        <w:rPr>
          <w:rFonts w:ascii="Roboto" w:hAnsi="Roboto"/>
        </w:rPr>
        <w:br w:type="page"/>
      </w:r>
    </w:p>
    <w:p w14:paraId="06E370EB" w14:textId="1D917ECB" w:rsidR="009D00DF" w:rsidRPr="004E0E1B" w:rsidRDefault="005560EC" w:rsidP="009D00DF">
      <w:pPr>
        <w:pStyle w:val="Heading1"/>
        <w:rPr>
          <w:rFonts w:ascii="Roboto" w:hAnsi="Roboto"/>
        </w:rPr>
      </w:pPr>
      <w:r w:rsidRPr="004E0E1B">
        <w:rPr>
          <w:rFonts w:ascii="Roboto" w:hAnsi="Roboto"/>
        </w:rPr>
        <w:lastRenderedPageBreak/>
        <w:drawing>
          <wp:anchor distT="0" distB="0" distL="114300" distR="114300" simplePos="0" relativeHeight="251657728" behindDoc="0" locked="0" layoutInCell="1" allowOverlap="1" wp14:anchorId="6D91AFC0" wp14:editId="38C2A06E">
            <wp:simplePos x="0" y="0"/>
            <wp:positionH relativeFrom="margin">
              <wp:posOffset>0</wp:posOffset>
            </wp:positionH>
            <wp:positionV relativeFrom="paragraph">
              <wp:posOffset>481330</wp:posOffset>
            </wp:positionV>
            <wp:extent cx="713740" cy="168275"/>
            <wp:effectExtent l="0" t="0" r="0" b="0"/>
            <wp:wrapThrough wrapText="bothSides">
              <wp:wrapPolygon edited="0">
                <wp:start x="0" y="0"/>
                <wp:lineTo x="0" y="19562"/>
                <wp:lineTo x="20754" y="19562"/>
                <wp:lineTo x="20754" y="0"/>
                <wp:lineTo x="0" y="0"/>
              </wp:wrapPolygon>
            </wp:wrapThrough>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l="11800" t="19539"/>
                    <a:stretch>
                      <a:fillRect/>
                    </a:stretch>
                  </pic:blipFill>
                  <pic:spPr bwMode="auto">
                    <a:xfrm>
                      <a:off x="0" y="0"/>
                      <a:ext cx="713740" cy="168275"/>
                    </a:xfrm>
                    <a:prstGeom prst="rect">
                      <a:avLst/>
                    </a:prstGeom>
                    <a:noFill/>
                  </pic:spPr>
                </pic:pic>
              </a:graphicData>
            </a:graphic>
            <wp14:sizeRelH relativeFrom="page">
              <wp14:pctWidth>0</wp14:pctWidth>
            </wp14:sizeRelH>
            <wp14:sizeRelV relativeFrom="page">
              <wp14:pctHeight>0</wp14:pctHeight>
            </wp14:sizeRelV>
          </wp:anchor>
        </w:drawing>
      </w:r>
      <w:r w:rsidR="00B4165A" w:rsidRPr="004E0E1B">
        <w:rPr>
          <w:rFonts w:ascii="Roboto" w:hAnsi="Roboto"/>
        </w:rPr>
        <w:t xml:space="preserve">Annex IV - </w:t>
      </w:r>
      <w:r w:rsidR="009825C1" w:rsidRPr="004E0E1B">
        <w:rPr>
          <w:rFonts w:ascii="Roboto" w:hAnsi="Roboto"/>
        </w:rPr>
        <w:t>Exchange of Collateral</w:t>
      </w:r>
    </w:p>
    <w:p w14:paraId="5E6F8E68" w14:textId="77777777" w:rsidR="009D00DF" w:rsidRPr="004E0E1B" w:rsidRDefault="009D00DF" w:rsidP="009D00DF">
      <w:pPr>
        <w:rPr>
          <w:rFonts w:ascii="Roboto" w:hAnsi="Roboto"/>
        </w:rPr>
      </w:pPr>
    </w:p>
    <w:p w14:paraId="78B71DF8" w14:textId="77777777" w:rsidR="00B4165A" w:rsidRPr="004E0E1B" w:rsidRDefault="00B4165A" w:rsidP="00B4165A">
      <w:pPr>
        <w:pStyle w:val="Heading3"/>
        <w:rPr>
          <w:rFonts w:ascii="Roboto" w:hAnsi="Roboto"/>
          <w:lang w:eastAsia="en-GB"/>
        </w:rPr>
      </w:pPr>
      <w:r w:rsidRPr="004E0E1B">
        <w:rPr>
          <w:rFonts w:ascii="Roboto" w:hAnsi="Roboto"/>
          <w:lang w:eastAsia="en-GB"/>
        </w:rPr>
        <w:t>(Optional)</w:t>
      </w:r>
    </w:p>
    <w:p w14:paraId="2405AC68" w14:textId="77777777" w:rsidR="00B4165A" w:rsidRDefault="00B4165A" w:rsidP="009D00DF">
      <w:pPr>
        <w:rPr>
          <w:rFonts w:ascii="Roboto" w:hAnsi="Roboto"/>
        </w:rPr>
      </w:pPr>
    </w:p>
    <w:p w14:paraId="4D018085" w14:textId="0BC888A1" w:rsidR="00780D8A" w:rsidRDefault="00780D8A" w:rsidP="009D00DF">
      <w:pPr>
        <w:rPr>
          <w:rFonts w:ascii="Roboto" w:hAnsi="Roboto"/>
        </w:rPr>
      </w:pPr>
      <w:r w:rsidRPr="00780D8A">
        <w:rPr>
          <w:rFonts w:ascii="Roboto" w:hAnsi="Roboto"/>
        </w:rPr>
        <w:t>This Annex is to be completed where the applicant seeks to make use of, or obtain, an intragroup exemption from the exchange of collateral requirements under Article 11 EMIR</w:t>
      </w:r>
      <w:r w:rsidR="0001284B">
        <w:rPr>
          <w:rFonts w:ascii="Roboto" w:hAnsi="Roboto"/>
        </w:rPr>
        <w:t xml:space="preserve"> </w:t>
      </w:r>
      <w:r w:rsidR="0001284B">
        <w:rPr>
          <w:rFonts w:ascii="Roboto" w:hAnsi="Roboto"/>
          <w:lang w:eastAsia="en-GB"/>
        </w:rPr>
        <w:t>as amended</w:t>
      </w:r>
      <w:r w:rsidRPr="00780D8A">
        <w:rPr>
          <w:rFonts w:ascii="Roboto" w:hAnsi="Roboto"/>
        </w:rPr>
        <w:t>.</w:t>
      </w:r>
    </w:p>
    <w:p w14:paraId="16F4098C" w14:textId="77777777" w:rsidR="00780D8A" w:rsidRPr="004E0E1B" w:rsidRDefault="00780D8A" w:rsidP="009D00DF">
      <w:pPr>
        <w:rPr>
          <w:rFonts w:ascii="Roboto" w:hAnsi="Roboto"/>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79"/>
      </w:tblGrid>
      <w:tr w:rsidR="009D00DF" w:rsidRPr="004E0E1B" w14:paraId="74164179" w14:textId="77777777" w:rsidTr="004362DF">
        <w:trPr>
          <w:trHeight w:val="507"/>
        </w:trPr>
        <w:tc>
          <w:tcPr>
            <w:tcW w:w="9061" w:type="dxa"/>
            <w:gridSpan w:val="2"/>
            <w:shd w:val="clear" w:color="auto" w:fill="0B1A34"/>
            <w:vAlign w:val="bottom"/>
          </w:tcPr>
          <w:p w14:paraId="08B3C842" w14:textId="77777777" w:rsidR="009D00DF" w:rsidRPr="004E0E1B" w:rsidRDefault="009D00DF" w:rsidP="004362DF">
            <w:pPr>
              <w:jc w:val="left"/>
              <w:rPr>
                <w:rFonts w:ascii="Roboto" w:hAnsi="Roboto"/>
                <w:color w:val="FFFFFF"/>
              </w:rPr>
            </w:pPr>
            <w:r w:rsidRPr="004E0E1B">
              <w:rPr>
                <w:rFonts w:ascii="Roboto" w:hAnsi="Roboto"/>
                <w:color w:val="FFFFFF"/>
              </w:rPr>
              <w:t>Transaction details for which exemption is being requested</w:t>
            </w:r>
          </w:p>
        </w:tc>
      </w:tr>
      <w:tr w:rsidR="00405940" w:rsidRPr="004E0E1B" w14:paraId="11DA6E37" w14:textId="77777777" w:rsidTr="004362DF">
        <w:trPr>
          <w:trHeight w:val="20"/>
        </w:trPr>
        <w:tc>
          <w:tcPr>
            <w:tcW w:w="5382" w:type="dxa"/>
            <w:vAlign w:val="center"/>
          </w:tcPr>
          <w:p w14:paraId="14DAB353" w14:textId="77777777" w:rsidR="00405940" w:rsidRPr="004E0E1B" w:rsidRDefault="00405940" w:rsidP="00405940">
            <w:pPr>
              <w:rPr>
                <w:rFonts w:ascii="Roboto" w:hAnsi="Roboto"/>
                <w:b/>
              </w:rPr>
            </w:pPr>
            <w:r w:rsidRPr="004E0E1B">
              <w:rPr>
                <w:rFonts w:ascii="Roboto" w:hAnsi="Roboto"/>
                <w:b/>
              </w:rPr>
              <w:t>Asset class of OTC derivative contract:</w:t>
            </w:r>
          </w:p>
        </w:tc>
        <w:sdt>
          <w:sdtPr>
            <w:rPr>
              <w:rFonts w:ascii="Roboto" w:hAnsi="Roboto"/>
            </w:rPr>
            <w:id w:val="-755981380"/>
            <w:placeholder>
              <w:docPart w:val="DefaultPlaceholder_-1854013440"/>
            </w:placeholder>
          </w:sdtPr>
          <w:sdtContent>
            <w:sdt>
              <w:sdtPr>
                <w:rPr>
                  <w:rFonts w:ascii="Roboto" w:hAnsi="Roboto"/>
                </w:rPr>
                <w:id w:val="-1166395759"/>
                <w:placeholder>
                  <w:docPart w:val="DefaultPlaceholder_-1854013440"/>
                </w:placeholder>
              </w:sdtPr>
              <w:sdtContent>
                <w:tc>
                  <w:tcPr>
                    <w:tcW w:w="3679" w:type="dxa"/>
                  </w:tcPr>
                  <w:sdt>
                    <w:sdtPr>
                      <w:rPr>
                        <w:rFonts w:ascii="Roboto" w:hAnsi="Roboto"/>
                      </w:rPr>
                      <w:id w:val="595372252"/>
                      <w:placeholder>
                        <w:docPart w:val="DefaultPlaceholder_-1854013440"/>
                      </w:placeholder>
                      <w:showingPlcHdr/>
                    </w:sdtPr>
                    <w:sdtContent>
                      <w:p w14:paraId="251E2E14" w14:textId="6D261821" w:rsidR="00405940" w:rsidRPr="004E0E1B" w:rsidRDefault="009718C1" w:rsidP="00405940">
                        <w:pPr>
                          <w:rPr>
                            <w:rFonts w:ascii="Roboto" w:hAnsi="Roboto"/>
                          </w:rPr>
                        </w:pPr>
                        <w:r w:rsidRPr="009645F3">
                          <w:rPr>
                            <w:rStyle w:val="PlaceholderText"/>
                          </w:rPr>
                          <w:t>Click or tap here to enter text.</w:t>
                        </w:r>
                      </w:p>
                    </w:sdtContent>
                  </w:sdt>
                </w:tc>
              </w:sdtContent>
            </w:sdt>
          </w:sdtContent>
        </w:sdt>
      </w:tr>
      <w:tr w:rsidR="00405940" w:rsidRPr="004E0E1B" w14:paraId="7EA2961C" w14:textId="77777777" w:rsidTr="004362DF">
        <w:trPr>
          <w:trHeight w:val="20"/>
        </w:trPr>
        <w:tc>
          <w:tcPr>
            <w:tcW w:w="5382" w:type="dxa"/>
            <w:vAlign w:val="center"/>
          </w:tcPr>
          <w:p w14:paraId="03C2E942" w14:textId="77777777" w:rsidR="00405940" w:rsidRPr="004E0E1B" w:rsidRDefault="00405940" w:rsidP="00405940">
            <w:pPr>
              <w:rPr>
                <w:rFonts w:ascii="Roboto" w:hAnsi="Roboto"/>
                <w:b/>
              </w:rPr>
            </w:pPr>
            <w:r w:rsidRPr="004E0E1B">
              <w:rPr>
                <w:rFonts w:ascii="Roboto" w:hAnsi="Roboto"/>
                <w:b/>
              </w:rPr>
              <w:t>Type of OTC derivative contract:</w:t>
            </w:r>
          </w:p>
        </w:tc>
        <w:sdt>
          <w:sdtPr>
            <w:rPr>
              <w:rStyle w:val="PlaceholderText"/>
              <w:rFonts w:ascii="Roboto" w:hAnsi="Roboto"/>
            </w:rPr>
            <w:id w:val="114721481"/>
            <w:placeholder>
              <w:docPart w:val="DefaultPlaceholder_-1854013440"/>
            </w:placeholder>
            <w:showingPlcHdr/>
          </w:sdtPr>
          <w:sdtContent>
            <w:tc>
              <w:tcPr>
                <w:tcW w:w="3679" w:type="dxa"/>
              </w:tcPr>
              <w:p w14:paraId="677B4212" w14:textId="187A534F"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4AE26E13" w14:textId="77777777" w:rsidTr="004362DF">
        <w:trPr>
          <w:trHeight w:val="20"/>
        </w:trPr>
        <w:tc>
          <w:tcPr>
            <w:tcW w:w="5382" w:type="dxa"/>
            <w:vAlign w:val="center"/>
          </w:tcPr>
          <w:p w14:paraId="3E65ADC1" w14:textId="77777777" w:rsidR="00405940" w:rsidRPr="004E0E1B" w:rsidRDefault="00405940" w:rsidP="00405940">
            <w:pPr>
              <w:rPr>
                <w:rFonts w:ascii="Roboto" w:hAnsi="Roboto"/>
                <w:b/>
              </w:rPr>
            </w:pPr>
            <w:r w:rsidRPr="004E0E1B">
              <w:rPr>
                <w:rFonts w:ascii="Roboto" w:hAnsi="Roboto"/>
                <w:b/>
              </w:rPr>
              <w:t>Type of underlying:</w:t>
            </w:r>
          </w:p>
        </w:tc>
        <w:sdt>
          <w:sdtPr>
            <w:rPr>
              <w:rStyle w:val="PlaceholderText"/>
              <w:rFonts w:ascii="Roboto" w:hAnsi="Roboto"/>
            </w:rPr>
            <w:id w:val="640392312"/>
            <w:placeholder>
              <w:docPart w:val="DefaultPlaceholder_-1854013440"/>
            </w:placeholder>
            <w:showingPlcHdr/>
          </w:sdtPr>
          <w:sdtContent>
            <w:tc>
              <w:tcPr>
                <w:tcW w:w="3679" w:type="dxa"/>
              </w:tcPr>
              <w:p w14:paraId="5DC78912" w14:textId="7F609684"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2A4B9828" w14:textId="77777777" w:rsidTr="004362DF">
        <w:trPr>
          <w:trHeight w:val="20"/>
        </w:trPr>
        <w:tc>
          <w:tcPr>
            <w:tcW w:w="5382" w:type="dxa"/>
            <w:vAlign w:val="center"/>
          </w:tcPr>
          <w:p w14:paraId="6BA5B660" w14:textId="77777777" w:rsidR="00405940" w:rsidRPr="004E0E1B" w:rsidRDefault="00405940" w:rsidP="00405940">
            <w:pPr>
              <w:rPr>
                <w:rFonts w:ascii="Roboto" w:hAnsi="Roboto"/>
                <w:b/>
              </w:rPr>
            </w:pPr>
            <w:r w:rsidRPr="004E0E1B">
              <w:rPr>
                <w:rFonts w:ascii="Roboto" w:hAnsi="Roboto"/>
                <w:b/>
              </w:rPr>
              <w:t>Notional and settlement currencies:</w:t>
            </w:r>
          </w:p>
        </w:tc>
        <w:sdt>
          <w:sdtPr>
            <w:rPr>
              <w:rStyle w:val="PlaceholderText"/>
              <w:rFonts w:ascii="Roboto" w:hAnsi="Roboto"/>
            </w:rPr>
            <w:id w:val="-1950307592"/>
            <w:placeholder>
              <w:docPart w:val="DefaultPlaceholder_-1854013440"/>
            </w:placeholder>
            <w:showingPlcHdr/>
          </w:sdtPr>
          <w:sdtContent>
            <w:tc>
              <w:tcPr>
                <w:tcW w:w="3679" w:type="dxa"/>
              </w:tcPr>
              <w:p w14:paraId="4F527B28" w14:textId="732C790D"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157C45E1" w14:textId="77777777" w:rsidTr="004362DF">
        <w:trPr>
          <w:trHeight w:val="20"/>
        </w:trPr>
        <w:tc>
          <w:tcPr>
            <w:tcW w:w="5382" w:type="dxa"/>
            <w:vAlign w:val="center"/>
          </w:tcPr>
          <w:p w14:paraId="3118FC37" w14:textId="77777777" w:rsidR="00405940" w:rsidRPr="004E0E1B" w:rsidRDefault="00405940" w:rsidP="00405940">
            <w:pPr>
              <w:rPr>
                <w:rFonts w:ascii="Roboto" w:hAnsi="Roboto"/>
                <w:b/>
              </w:rPr>
            </w:pPr>
            <w:r w:rsidRPr="004E0E1B">
              <w:rPr>
                <w:rFonts w:ascii="Roboto" w:hAnsi="Roboto"/>
                <w:b/>
              </w:rPr>
              <w:t>Range of contract tenors:</w:t>
            </w:r>
          </w:p>
        </w:tc>
        <w:sdt>
          <w:sdtPr>
            <w:rPr>
              <w:rStyle w:val="PlaceholderText"/>
              <w:rFonts w:ascii="Roboto" w:hAnsi="Roboto"/>
            </w:rPr>
            <w:id w:val="1864089637"/>
            <w:placeholder>
              <w:docPart w:val="DefaultPlaceholder_-1854013440"/>
            </w:placeholder>
            <w:showingPlcHdr/>
          </w:sdtPr>
          <w:sdtContent>
            <w:tc>
              <w:tcPr>
                <w:tcW w:w="3679" w:type="dxa"/>
              </w:tcPr>
              <w:p w14:paraId="2690A0F9" w14:textId="247DB8CA"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65B3931F" w14:textId="77777777" w:rsidTr="004362DF">
        <w:trPr>
          <w:trHeight w:val="20"/>
        </w:trPr>
        <w:tc>
          <w:tcPr>
            <w:tcW w:w="5382" w:type="dxa"/>
            <w:vAlign w:val="center"/>
          </w:tcPr>
          <w:p w14:paraId="5B917EE9" w14:textId="77777777" w:rsidR="00405940" w:rsidRPr="004E0E1B" w:rsidRDefault="00405940" w:rsidP="00405940">
            <w:pPr>
              <w:rPr>
                <w:rFonts w:ascii="Roboto" w:hAnsi="Roboto"/>
                <w:b/>
              </w:rPr>
            </w:pPr>
            <w:r w:rsidRPr="004E0E1B">
              <w:rPr>
                <w:rFonts w:ascii="Roboto" w:hAnsi="Roboto"/>
                <w:b/>
              </w:rPr>
              <w:t>Settlement type:</w:t>
            </w:r>
          </w:p>
        </w:tc>
        <w:sdt>
          <w:sdtPr>
            <w:rPr>
              <w:rStyle w:val="PlaceholderText"/>
              <w:rFonts w:ascii="Roboto" w:hAnsi="Roboto"/>
            </w:rPr>
            <w:id w:val="-403606665"/>
            <w:placeholder>
              <w:docPart w:val="DefaultPlaceholder_-1854013440"/>
            </w:placeholder>
            <w:showingPlcHdr/>
          </w:sdtPr>
          <w:sdtContent>
            <w:tc>
              <w:tcPr>
                <w:tcW w:w="3679" w:type="dxa"/>
              </w:tcPr>
              <w:p w14:paraId="77BE96FE" w14:textId="18862C82"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7B4E2A71" w14:textId="77777777" w:rsidTr="004362DF">
        <w:trPr>
          <w:trHeight w:val="20"/>
        </w:trPr>
        <w:tc>
          <w:tcPr>
            <w:tcW w:w="5382" w:type="dxa"/>
            <w:vAlign w:val="center"/>
          </w:tcPr>
          <w:p w14:paraId="351FE80D" w14:textId="77777777" w:rsidR="00405940" w:rsidRPr="004E0E1B" w:rsidRDefault="00405940" w:rsidP="00405940">
            <w:pPr>
              <w:rPr>
                <w:rFonts w:ascii="Roboto" w:hAnsi="Roboto"/>
                <w:b/>
              </w:rPr>
            </w:pPr>
            <w:r w:rsidRPr="004E0E1B">
              <w:rPr>
                <w:rFonts w:ascii="Roboto" w:hAnsi="Roboto"/>
                <w:b/>
              </w:rPr>
              <w:t>Anticipated size, volumes and frequency of OTC derivative contracts per annum:</w:t>
            </w:r>
          </w:p>
        </w:tc>
        <w:sdt>
          <w:sdtPr>
            <w:rPr>
              <w:rStyle w:val="PlaceholderText"/>
              <w:rFonts w:ascii="Roboto" w:hAnsi="Roboto"/>
            </w:rPr>
            <w:id w:val="-950925132"/>
            <w:placeholder>
              <w:docPart w:val="DefaultPlaceholder_-1854013440"/>
            </w:placeholder>
            <w:showingPlcHdr/>
          </w:sdtPr>
          <w:sdtContent>
            <w:tc>
              <w:tcPr>
                <w:tcW w:w="3679" w:type="dxa"/>
              </w:tcPr>
              <w:p w14:paraId="241601C2" w14:textId="71C2EF82" w:rsidR="00405940" w:rsidRPr="004E0E1B" w:rsidRDefault="00DA1A25" w:rsidP="00405940">
                <w:pPr>
                  <w:rPr>
                    <w:rFonts w:ascii="Roboto" w:hAnsi="Roboto"/>
                  </w:rPr>
                </w:pPr>
                <w:r w:rsidRPr="009645F3">
                  <w:rPr>
                    <w:rStyle w:val="PlaceholderText"/>
                  </w:rPr>
                  <w:t>Click or tap here to enter text.</w:t>
                </w:r>
              </w:p>
            </w:tc>
          </w:sdtContent>
        </w:sdt>
      </w:tr>
    </w:tbl>
    <w:p w14:paraId="00BF2F62" w14:textId="77777777" w:rsidR="00475FBD" w:rsidRPr="004E0E1B" w:rsidRDefault="00475FBD" w:rsidP="001A3F35">
      <w:pPr>
        <w:rPr>
          <w:rFonts w:ascii="Roboto" w:hAnsi="Roboto"/>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79"/>
      </w:tblGrid>
      <w:tr w:rsidR="009D00DF" w:rsidRPr="004E0E1B" w14:paraId="52F39E62" w14:textId="77777777" w:rsidTr="004362DF">
        <w:trPr>
          <w:trHeight w:val="507"/>
        </w:trPr>
        <w:tc>
          <w:tcPr>
            <w:tcW w:w="9061" w:type="dxa"/>
            <w:gridSpan w:val="2"/>
            <w:shd w:val="clear" w:color="auto" w:fill="0B1A34"/>
            <w:vAlign w:val="bottom"/>
          </w:tcPr>
          <w:p w14:paraId="41897FAB" w14:textId="77777777" w:rsidR="009D00DF" w:rsidRPr="004E0E1B" w:rsidRDefault="009D00DF" w:rsidP="004362DF">
            <w:pPr>
              <w:jc w:val="left"/>
              <w:rPr>
                <w:rFonts w:ascii="Roboto" w:hAnsi="Roboto"/>
                <w:color w:val="FFFFFF"/>
              </w:rPr>
            </w:pPr>
            <w:r w:rsidRPr="004E0E1B">
              <w:rPr>
                <w:rFonts w:ascii="Roboto" w:hAnsi="Roboto"/>
                <w:color w:val="FFFFFF"/>
              </w:rPr>
              <w:t>Type of exemption (please select from the below, as applicable)</w:t>
            </w:r>
          </w:p>
        </w:tc>
      </w:tr>
      <w:tr w:rsidR="00405940" w:rsidRPr="004E0E1B" w14:paraId="5510B987" w14:textId="77777777" w:rsidTr="004362DF">
        <w:trPr>
          <w:trHeight w:val="20"/>
        </w:trPr>
        <w:tc>
          <w:tcPr>
            <w:tcW w:w="5382" w:type="dxa"/>
            <w:vAlign w:val="center"/>
          </w:tcPr>
          <w:p w14:paraId="6710040B" w14:textId="77777777" w:rsidR="00405940" w:rsidRPr="004E0E1B" w:rsidRDefault="00405940" w:rsidP="00405940">
            <w:pPr>
              <w:rPr>
                <w:rFonts w:ascii="Roboto" w:hAnsi="Roboto"/>
                <w:b/>
              </w:rPr>
            </w:pPr>
            <w:r w:rsidRPr="004E0E1B">
              <w:rPr>
                <w:rFonts w:ascii="Roboto" w:hAnsi="Roboto"/>
                <w:b/>
              </w:rPr>
              <w:t>An exemption for an intragroup transaction referred to in Article 3(2)(a), (b) or (c) that is entered into by counterparties which are established in different Member States, in accordance with Article 11(6).</w:t>
            </w:r>
          </w:p>
        </w:tc>
        <w:sdt>
          <w:sdtPr>
            <w:rPr>
              <w:rStyle w:val="PlaceholderText"/>
              <w:rFonts w:ascii="Roboto" w:hAnsi="Roboto"/>
            </w:rPr>
            <w:id w:val="-1305607720"/>
            <w:placeholder>
              <w:docPart w:val="DefaultPlaceholder_-1854013440"/>
            </w:placeholder>
            <w:showingPlcHdr/>
          </w:sdtPr>
          <w:sdtContent>
            <w:tc>
              <w:tcPr>
                <w:tcW w:w="3679" w:type="dxa"/>
              </w:tcPr>
              <w:p w14:paraId="6C781028" w14:textId="5C3BD001"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309B7C0A" w14:textId="77777777" w:rsidTr="004362DF">
        <w:trPr>
          <w:trHeight w:val="20"/>
        </w:trPr>
        <w:tc>
          <w:tcPr>
            <w:tcW w:w="5382" w:type="dxa"/>
            <w:vAlign w:val="center"/>
          </w:tcPr>
          <w:p w14:paraId="7DAA5891" w14:textId="77777777" w:rsidR="00405940" w:rsidRPr="004E0E1B" w:rsidRDefault="00405940" w:rsidP="00405940">
            <w:pPr>
              <w:rPr>
                <w:rFonts w:ascii="Roboto" w:hAnsi="Roboto"/>
                <w:b/>
              </w:rPr>
            </w:pPr>
            <w:r w:rsidRPr="004E0E1B">
              <w:rPr>
                <w:rFonts w:ascii="Roboto" w:hAnsi="Roboto"/>
                <w:b/>
              </w:rPr>
              <w:t>An exemption for an intragroup transaction referred to in Article 3(1) that is entered into by non-financial</w:t>
            </w:r>
            <w:r w:rsidRPr="004E0E1B">
              <w:rPr>
                <w:rFonts w:ascii="Roboto" w:hAnsi="Roboto"/>
                <w:b/>
                <w:color w:val="FF0000"/>
              </w:rPr>
              <w:t xml:space="preserve"> </w:t>
            </w:r>
            <w:r w:rsidRPr="004E0E1B">
              <w:rPr>
                <w:rFonts w:ascii="Roboto" w:hAnsi="Roboto"/>
                <w:b/>
              </w:rPr>
              <w:t>counterparties which are established in different Member States, in accordance with Article 11(7).</w:t>
            </w:r>
          </w:p>
        </w:tc>
        <w:sdt>
          <w:sdtPr>
            <w:rPr>
              <w:rStyle w:val="PlaceholderText"/>
              <w:rFonts w:ascii="Roboto" w:hAnsi="Roboto"/>
            </w:rPr>
            <w:id w:val="-978457498"/>
            <w:placeholder>
              <w:docPart w:val="DefaultPlaceholder_-1854013440"/>
            </w:placeholder>
            <w:showingPlcHdr/>
          </w:sdtPr>
          <w:sdtContent>
            <w:tc>
              <w:tcPr>
                <w:tcW w:w="3679" w:type="dxa"/>
              </w:tcPr>
              <w:p w14:paraId="0B149B6E" w14:textId="4366D413"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50C42D4C" w14:textId="77777777" w:rsidTr="004362DF">
        <w:trPr>
          <w:trHeight w:val="20"/>
        </w:trPr>
        <w:tc>
          <w:tcPr>
            <w:tcW w:w="5382" w:type="dxa"/>
            <w:vAlign w:val="center"/>
          </w:tcPr>
          <w:p w14:paraId="57F2647F" w14:textId="77777777" w:rsidR="00405940" w:rsidRPr="004E0E1B" w:rsidRDefault="00405940" w:rsidP="00405940">
            <w:pPr>
              <w:rPr>
                <w:rFonts w:ascii="Roboto" w:hAnsi="Roboto"/>
                <w:b/>
              </w:rPr>
            </w:pPr>
            <w:r w:rsidRPr="004E0E1B">
              <w:rPr>
                <w:rFonts w:ascii="Roboto" w:hAnsi="Roboto"/>
                <w:b/>
              </w:rPr>
              <w:t xml:space="preserve">An exemption for an intragroup transaction referred to in Article 3(2)(a) to (d) that is entered into by a counterparty which is established in the Union and a </w:t>
            </w:r>
            <w:r w:rsidRPr="004E0E1B">
              <w:rPr>
                <w:rFonts w:ascii="Roboto" w:hAnsi="Roboto"/>
                <w:b/>
              </w:rPr>
              <w:lastRenderedPageBreak/>
              <w:t>counterparty established in a third-country jurisdiction, in accordance with Article 11(8).</w:t>
            </w:r>
          </w:p>
        </w:tc>
        <w:sdt>
          <w:sdtPr>
            <w:rPr>
              <w:rStyle w:val="PlaceholderText"/>
              <w:rFonts w:ascii="Roboto" w:hAnsi="Roboto"/>
            </w:rPr>
            <w:id w:val="-183601876"/>
            <w:placeholder>
              <w:docPart w:val="DefaultPlaceholder_-1854013440"/>
            </w:placeholder>
            <w:showingPlcHdr/>
          </w:sdtPr>
          <w:sdtContent>
            <w:tc>
              <w:tcPr>
                <w:tcW w:w="3679" w:type="dxa"/>
              </w:tcPr>
              <w:p w14:paraId="09064650" w14:textId="5705259C"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4F555C3D" w14:textId="77777777" w:rsidTr="004362DF">
        <w:trPr>
          <w:trHeight w:val="20"/>
        </w:trPr>
        <w:tc>
          <w:tcPr>
            <w:tcW w:w="5382" w:type="dxa"/>
            <w:vAlign w:val="center"/>
          </w:tcPr>
          <w:p w14:paraId="110AAC55" w14:textId="77777777" w:rsidR="00405940" w:rsidRPr="004E0E1B" w:rsidRDefault="00405940" w:rsidP="00405940">
            <w:pPr>
              <w:rPr>
                <w:rFonts w:ascii="Roboto" w:hAnsi="Roboto"/>
                <w:b/>
              </w:rPr>
            </w:pPr>
            <w:r w:rsidRPr="004E0E1B">
              <w:rPr>
                <w:rFonts w:ascii="Roboto" w:hAnsi="Roboto"/>
                <w:b/>
              </w:rPr>
              <w:t>An exemption for an intragroup transaction referred to in Article 3(1) that is entered into by a non-financial counterparty which is established in the Union and a counterparty established in a third-country jurisdiction, in accordance with Article 11(9).</w:t>
            </w:r>
          </w:p>
        </w:tc>
        <w:sdt>
          <w:sdtPr>
            <w:rPr>
              <w:rStyle w:val="PlaceholderText"/>
              <w:rFonts w:ascii="Roboto" w:hAnsi="Roboto"/>
            </w:rPr>
            <w:id w:val="-1190992235"/>
            <w:placeholder>
              <w:docPart w:val="DefaultPlaceholder_-1854013440"/>
            </w:placeholder>
            <w:showingPlcHdr/>
          </w:sdtPr>
          <w:sdtContent>
            <w:tc>
              <w:tcPr>
                <w:tcW w:w="3679" w:type="dxa"/>
              </w:tcPr>
              <w:p w14:paraId="6181E5AF" w14:textId="5E4D9857"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74740226" w14:textId="77777777" w:rsidTr="004362DF">
        <w:trPr>
          <w:trHeight w:val="1757"/>
        </w:trPr>
        <w:tc>
          <w:tcPr>
            <w:tcW w:w="5382" w:type="dxa"/>
            <w:vAlign w:val="center"/>
          </w:tcPr>
          <w:p w14:paraId="18C07F0F" w14:textId="77777777" w:rsidR="00405940" w:rsidRPr="004E0E1B" w:rsidRDefault="00405940" w:rsidP="00405940">
            <w:pPr>
              <w:rPr>
                <w:rFonts w:ascii="Roboto" w:hAnsi="Roboto"/>
                <w:b/>
              </w:rPr>
            </w:pPr>
            <w:r w:rsidRPr="004E0E1B">
              <w:rPr>
                <w:rFonts w:ascii="Roboto" w:hAnsi="Roboto"/>
                <w:b/>
              </w:rPr>
              <w:t>An exemption for an intragroup transaction referred to in Article 3(1) that is entered into by a non-financial counterparty and a financial counterparty which are established in different Member States, in accordance with Article 11(10).</w:t>
            </w:r>
          </w:p>
        </w:tc>
        <w:sdt>
          <w:sdtPr>
            <w:rPr>
              <w:rStyle w:val="PlaceholderText"/>
              <w:rFonts w:ascii="Roboto" w:hAnsi="Roboto"/>
            </w:rPr>
            <w:id w:val="1703829167"/>
            <w:placeholder>
              <w:docPart w:val="DefaultPlaceholder_-1854013440"/>
            </w:placeholder>
            <w:showingPlcHdr/>
          </w:sdtPr>
          <w:sdtContent>
            <w:tc>
              <w:tcPr>
                <w:tcW w:w="3679" w:type="dxa"/>
              </w:tcPr>
              <w:p w14:paraId="2BD70F55" w14:textId="1301423E" w:rsidR="00405940" w:rsidRPr="004E0E1B" w:rsidRDefault="00DA1A25" w:rsidP="00405940">
                <w:pPr>
                  <w:rPr>
                    <w:rFonts w:ascii="Roboto" w:hAnsi="Roboto"/>
                  </w:rPr>
                </w:pPr>
                <w:r w:rsidRPr="009645F3">
                  <w:rPr>
                    <w:rStyle w:val="PlaceholderText"/>
                  </w:rPr>
                  <w:t>Click or tap here to enter text.</w:t>
                </w:r>
              </w:p>
            </w:tc>
          </w:sdtContent>
        </w:sdt>
      </w:tr>
    </w:tbl>
    <w:p w14:paraId="21835694" w14:textId="77777777" w:rsidR="009D00DF" w:rsidRPr="004E0E1B" w:rsidRDefault="009D00DF" w:rsidP="001A3F35">
      <w:pPr>
        <w:rPr>
          <w:rFonts w:ascii="Roboto" w:hAnsi="Roboto"/>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79"/>
      </w:tblGrid>
      <w:tr w:rsidR="009D00DF" w:rsidRPr="004E0E1B" w14:paraId="19986796" w14:textId="77777777" w:rsidTr="004362DF">
        <w:trPr>
          <w:trHeight w:val="507"/>
        </w:trPr>
        <w:tc>
          <w:tcPr>
            <w:tcW w:w="9061" w:type="dxa"/>
            <w:gridSpan w:val="2"/>
            <w:shd w:val="clear" w:color="auto" w:fill="0B1A34"/>
            <w:vAlign w:val="bottom"/>
          </w:tcPr>
          <w:p w14:paraId="469D3F76" w14:textId="77777777" w:rsidR="009D00DF" w:rsidRPr="004E0E1B" w:rsidRDefault="009D00DF" w:rsidP="004362DF">
            <w:pPr>
              <w:jc w:val="left"/>
              <w:rPr>
                <w:rFonts w:ascii="Roboto" w:hAnsi="Roboto"/>
                <w:color w:val="FFFFFF"/>
              </w:rPr>
            </w:pPr>
            <w:r w:rsidRPr="004E0E1B">
              <w:rPr>
                <w:rFonts w:ascii="Roboto" w:hAnsi="Roboto"/>
                <w:color w:val="FFFFFF"/>
              </w:rPr>
              <w:t>Risk Management robustness</w:t>
            </w:r>
          </w:p>
        </w:tc>
      </w:tr>
      <w:tr w:rsidR="00405940" w:rsidRPr="004E0E1B" w14:paraId="771682FB" w14:textId="77777777" w:rsidTr="004362DF">
        <w:trPr>
          <w:trHeight w:val="20"/>
        </w:trPr>
        <w:tc>
          <w:tcPr>
            <w:tcW w:w="5382" w:type="dxa"/>
            <w:vAlign w:val="center"/>
          </w:tcPr>
          <w:p w14:paraId="06CAB78B" w14:textId="50D702E3" w:rsidR="00405940" w:rsidRPr="004E0E1B" w:rsidRDefault="00405940" w:rsidP="00405940">
            <w:pPr>
              <w:rPr>
                <w:rFonts w:ascii="Roboto" w:hAnsi="Roboto"/>
                <w:b/>
              </w:rPr>
            </w:pPr>
            <w:r w:rsidRPr="004E0E1B">
              <w:rPr>
                <w:rFonts w:ascii="Roboto" w:hAnsi="Roboto"/>
                <w:b/>
              </w:rPr>
              <w:t>Does the applicant counterparty and the intragroup counterparty have risk management procedures that are adequately sound, robust and consistent with the level of complexity of the OTC derivative transactions for which it is applying for an exemption, in accordance with paragraph (a) of Article 11(6) to 11(10) of EMIR</w:t>
            </w:r>
            <w:r w:rsidR="0001284B">
              <w:rPr>
                <w:rFonts w:ascii="Roboto" w:hAnsi="Roboto"/>
                <w:lang w:eastAsia="en-GB"/>
              </w:rPr>
              <w:t xml:space="preserve"> as amended</w:t>
            </w:r>
            <w:r w:rsidRPr="004E0E1B">
              <w:rPr>
                <w:rFonts w:ascii="Roboto" w:hAnsi="Roboto"/>
                <w:b/>
              </w:rPr>
              <w:t>?</w:t>
            </w:r>
          </w:p>
        </w:tc>
        <w:sdt>
          <w:sdtPr>
            <w:rPr>
              <w:rStyle w:val="PlaceholderText"/>
              <w:rFonts w:ascii="Roboto" w:hAnsi="Roboto"/>
            </w:rPr>
            <w:id w:val="1532216625"/>
            <w:placeholder>
              <w:docPart w:val="DefaultPlaceholder_-1854013440"/>
            </w:placeholder>
            <w:showingPlcHdr/>
          </w:sdtPr>
          <w:sdtContent>
            <w:tc>
              <w:tcPr>
                <w:tcW w:w="3679" w:type="dxa"/>
              </w:tcPr>
              <w:p w14:paraId="29EFFF01" w14:textId="0FEA983E"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42CC546D" w14:textId="77777777" w:rsidTr="004362DF">
        <w:trPr>
          <w:trHeight w:val="20"/>
        </w:trPr>
        <w:tc>
          <w:tcPr>
            <w:tcW w:w="5382" w:type="dxa"/>
            <w:vAlign w:val="center"/>
          </w:tcPr>
          <w:p w14:paraId="35ABCB2C" w14:textId="77777777" w:rsidR="00405940" w:rsidRPr="004E0E1B" w:rsidRDefault="00405940" w:rsidP="00405940">
            <w:pPr>
              <w:rPr>
                <w:rFonts w:ascii="Roboto" w:hAnsi="Roboto"/>
                <w:b/>
              </w:rPr>
            </w:pPr>
            <w:r w:rsidRPr="004E0E1B">
              <w:rPr>
                <w:rFonts w:ascii="Roboto" w:hAnsi="Roboto"/>
                <w:b/>
              </w:rPr>
              <w:t xml:space="preserve">Does your group ensure regular monitoring of the intragroup exposures? How does your group ensure that the timely settlement of the obligations resulting from the intragroup OTC derivative contracts is guaranteed based on the monitoring and liquidity tools at group level?  </w:t>
            </w:r>
          </w:p>
        </w:tc>
        <w:sdt>
          <w:sdtPr>
            <w:rPr>
              <w:rStyle w:val="PlaceholderText"/>
              <w:rFonts w:ascii="Roboto" w:hAnsi="Roboto"/>
            </w:rPr>
            <w:id w:val="-2137334231"/>
            <w:placeholder>
              <w:docPart w:val="DefaultPlaceholder_-1854013440"/>
            </w:placeholder>
            <w:showingPlcHdr/>
          </w:sdtPr>
          <w:sdtContent>
            <w:tc>
              <w:tcPr>
                <w:tcW w:w="3679" w:type="dxa"/>
              </w:tcPr>
              <w:p w14:paraId="1A9E37B8" w14:textId="5B8989B4" w:rsidR="00405940" w:rsidRPr="004E0E1B" w:rsidRDefault="00DA1A25" w:rsidP="00405940">
                <w:pPr>
                  <w:rPr>
                    <w:rFonts w:ascii="Roboto" w:hAnsi="Roboto"/>
                  </w:rPr>
                </w:pPr>
                <w:r w:rsidRPr="009645F3">
                  <w:rPr>
                    <w:rStyle w:val="PlaceholderText"/>
                  </w:rPr>
                  <w:t>Click or tap here to enter text.</w:t>
                </w:r>
              </w:p>
            </w:tc>
          </w:sdtContent>
        </w:sdt>
      </w:tr>
    </w:tbl>
    <w:p w14:paraId="33CFB77C" w14:textId="77777777" w:rsidR="009D00DF" w:rsidRPr="004E0E1B" w:rsidRDefault="009D00DF" w:rsidP="001A3F35">
      <w:pPr>
        <w:rPr>
          <w:rFonts w:ascii="Roboto" w:hAnsi="Roboto"/>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3655"/>
      </w:tblGrid>
      <w:tr w:rsidR="0064015B" w:rsidRPr="004E0E1B" w14:paraId="2ECC75E9" w14:textId="77777777" w:rsidTr="004362DF">
        <w:trPr>
          <w:trHeight w:val="497"/>
        </w:trPr>
        <w:tc>
          <w:tcPr>
            <w:tcW w:w="9001" w:type="dxa"/>
            <w:gridSpan w:val="2"/>
            <w:shd w:val="clear" w:color="auto" w:fill="0B1A34"/>
            <w:vAlign w:val="bottom"/>
          </w:tcPr>
          <w:p w14:paraId="42BEDA60" w14:textId="77777777" w:rsidR="0064015B" w:rsidRPr="004E0E1B" w:rsidRDefault="0064015B" w:rsidP="004362DF">
            <w:pPr>
              <w:jc w:val="left"/>
              <w:rPr>
                <w:rFonts w:ascii="Roboto" w:hAnsi="Roboto"/>
                <w:color w:val="FFFFFF"/>
              </w:rPr>
            </w:pPr>
            <w:r w:rsidRPr="004E0E1B">
              <w:rPr>
                <w:rFonts w:ascii="Roboto" w:hAnsi="Roboto"/>
                <w:color w:val="FFFFFF"/>
              </w:rPr>
              <w:t>Prompt transfer of own funds and repayment of liabilities</w:t>
            </w:r>
          </w:p>
        </w:tc>
      </w:tr>
      <w:tr w:rsidR="00405940" w:rsidRPr="004E0E1B" w14:paraId="081D70B8" w14:textId="77777777" w:rsidTr="004362DF">
        <w:trPr>
          <w:trHeight w:val="19"/>
        </w:trPr>
        <w:tc>
          <w:tcPr>
            <w:tcW w:w="5346" w:type="dxa"/>
            <w:vAlign w:val="center"/>
          </w:tcPr>
          <w:p w14:paraId="74D427BC" w14:textId="2023DE54" w:rsidR="00405940" w:rsidRPr="004E0E1B" w:rsidRDefault="00405940" w:rsidP="00405940">
            <w:pPr>
              <w:rPr>
                <w:rFonts w:ascii="Roboto" w:hAnsi="Roboto"/>
                <w:b/>
              </w:rPr>
            </w:pPr>
            <w:r w:rsidRPr="004E0E1B">
              <w:rPr>
                <w:rFonts w:ascii="Roboto" w:hAnsi="Roboto"/>
                <w:b/>
              </w:rPr>
              <w:t xml:space="preserve">Is there any unforeseen </w:t>
            </w:r>
            <w:r w:rsidRPr="004E0E1B">
              <w:rPr>
                <w:rFonts w:ascii="Roboto" w:hAnsi="Roboto"/>
                <w:b/>
                <w:u w:val="single"/>
              </w:rPr>
              <w:t>legal</w:t>
            </w:r>
            <w:r w:rsidRPr="004E0E1B">
              <w:rPr>
                <w:rFonts w:ascii="Roboto" w:hAnsi="Roboto"/>
                <w:b/>
              </w:rPr>
              <w:t xml:space="preserve"> impediment to the prompt transfer of own funds or repayment of liabilities between the counterparties, in accordance with paragraph (b) of Article 11(6) to 11(10) of EMIR</w:t>
            </w:r>
            <w:r w:rsidR="0001284B">
              <w:rPr>
                <w:rFonts w:ascii="Roboto" w:hAnsi="Roboto"/>
                <w:b/>
              </w:rPr>
              <w:t xml:space="preserve"> </w:t>
            </w:r>
            <w:r w:rsidR="0001284B" w:rsidRPr="00965E1D">
              <w:rPr>
                <w:rFonts w:ascii="Roboto" w:hAnsi="Roboto"/>
                <w:b/>
                <w:bCs/>
                <w:lang w:eastAsia="en-GB"/>
              </w:rPr>
              <w:t>as amended</w:t>
            </w:r>
            <w:r w:rsidRPr="004E0E1B">
              <w:rPr>
                <w:rFonts w:ascii="Roboto" w:hAnsi="Roboto"/>
                <w:b/>
              </w:rPr>
              <w:t xml:space="preserve"> and supplemented by Article 33 of the </w:t>
            </w:r>
            <w:r w:rsidRPr="004E0E1B">
              <w:rPr>
                <w:rFonts w:ascii="Roboto" w:hAnsi="Roboto"/>
                <w:b/>
              </w:rPr>
              <w:lastRenderedPageBreak/>
              <w:t>Commission Delegated Regulation 2016/2251</w:t>
            </w:r>
            <w:r w:rsidR="006204F8">
              <w:rPr>
                <w:rFonts w:ascii="Roboto" w:hAnsi="Roboto"/>
                <w:b/>
              </w:rPr>
              <w:t xml:space="preserve"> as amended</w:t>
            </w:r>
            <w:r w:rsidRPr="004E0E1B">
              <w:rPr>
                <w:rFonts w:ascii="Roboto" w:hAnsi="Roboto"/>
                <w:b/>
              </w:rPr>
              <w:t>?</w:t>
            </w:r>
          </w:p>
        </w:tc>
        <w:sdt>
          <w:sdtPr>
            <w:rPr>
              <w:rStyle w:val="PlaceholderText"/>
              <w:rFonts w:ascii="Roboto" w:hAnsi="Roboto"/>
            </w:rPr>
            <w:id w:val="161678001"/>
            <w:placeholder>
              <w:docPart w:val="DefaultPlaceholder_-1854013440"/>
            </w:placeholder>
            <w:showingPlcHdr/>
          </w:sdtPr>
          <w:sdtContent>
            <w:tc>
              <w:tcPr>
                <w:tcW w:w="3655" w:type="dxa"/>
              </w:tcPr>
              <w:p w14:paraId="0A054B11" w14:textId="6D93ABC5"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5BE5E739" w14:textId="77777777" w:rsidTr="004362DF">
        <w:trPr>
          <w:trHeight w:val="19"/>
        </w:trPr>
        <w:tc>
          <w:tcPr>
            <w:tcW w:w="5346" w:type="dxa"/>
            <w:vAlign w:val="center"/>
          </w:tcPr>
          <w:p w14:paraId="6C79F664" w14:textId="2194154C" w:rsidR="00405940" w:rsidRPr="004E0E1B" w:rsidRDefault="00405940" w:rsidP="00405940">
            <w:pPr>
              <w:rPr>
                <w:rFonts w:ascii="Roboto" w:hAnsi="Roboto"/>
                <w:b/>
              </w:rPr>
            </w:pPr>
            <w:r w:rsidRPr="004E0E1B">
              <w:rPr>
                <w:rFonts w:ascii="Roboto" w:hAnsi="Roboto"/>
                <w:b/>
              </w:rPr>
              <w:t xml:space="preserve">Describe the measures that have been taken to assess whether there is any </w:t>
            </w:r>
            <w:r w:rsidRPr="004E0E1B">
              <w:rPr>
                <w:rFonts w:ascii="Roboto" w:hAnsi="Roboto"/>
                <w:b/>
                <w:u w:val="single"/>
              </w:rPr>
              <w:t>legal</w:t>
            </w:r>
            <w:r w:rsidRPr="004E0E1B">
              <w:rPr>
                <w:rFonts w:ascii="Roboto" w:hAnsi="Roboto"/>
                <w:b/>
              </w:rPr>
              <w:t xml:space="preserve"> impediment, including any of the following restrictions, as per Article 33 of Commission Delegated Regulation 2016/2251</w:t>
            </w:r>
            <w:r w:rsidR="0001284B">
              <w:rPr>
                <w:rFonts w:ascii="Roboto" w:hAnsi="Roboto"/>
                <w:b/>
              </w:rPr>
              <w:t xml:space="preserve"> as amended</w:t>
            </w:r>
            <w:r w:rsidRPr="004E0E1B">
              <w:rPr>
                <w:rFonts w:ascii="Roboto" w:hAnsi="Roboto"/>
                <w:b/>
              </w:rPr>
              <w:t>:</w:t>
            </w:r>
          </w:p>
        </w:tc>
        <w:tc>
          <w:tcPr>
            <w:tcW w:w="3655" w:type="dxa"/>
          </w:tcPr>
          <w:p w14:paraId="1DEE5956" w14:textId="77777777" w:rsidR="00405940" w:rsidRPr="004E0E1B" w:rsidRDefault="00405940" w:rsidP="00405940">
            <w:pPr>
              <w:rPr>
                <w:rFonts w:ascii="Roboto" w:hAnsi="Roboto"/>
              </w:rPr>
            </w:pPr>
          </w:p>
        </w:tc>
      </w:tr>
      <w:tr w:rsidR="00405940" w:rsidRPr="004E0E1B" w14:paraId="6497CA07" w14:textId="77777777" w:rsidTr="004362DF">
        <w:trPr>
          <w:trHeight w:val="19"/>
        </w:trPr>
        <w:tc>
          <w:tcPr>
            <w:tcW w:w="5346" w:type="dxa"/>
            <w:vAlign w:val="center"/>
          </w:tcPr>
          <w:p w14:paraId="1DE44B47" w14:textId="77777777" w:rsidR="00405940" w:rsidRPr="004E0E1B" w:rsidRDefault="00405940" w:rsidP="004362DF">
            <w:pPr>
              <w:pStyle w:val="ListParagraph"/>
              <w:numPr>
                <w:ilvl w:val="0"/>
                <w:numId w:val="33"/>
              </w:numPr>
              <w:rPr>
                <w:rFonts w:ascii="Roboto" w:hAnsi="Roboto"/>
              </w:rPr>
            </w:pPr>
            <w:r w:rsidRPr="004E0E1B">
              <w:rPr>
                <w:rFonts w:ascii="Roboto" w:hAnsi="Roboto"/>
              </w:rPr>
              <w:t>currency and exchange controls;</w:t>
            </w:r>
          </w:p>
        </w:tc>
        <w:sdt>
          <w:sdtPr>
            <w:rPr>
              <w:rStyle w:val="PlaceholderText"/>
              <w:rFonts w:ascii="Roboto" w:hAnsi="Roboto"/>
            </w:rPr>
            <w:id w:val="-1064481403"/>
            <w:placeholder>
              <w:docPart w:val="DefaultPlaceholder_-1854013440"/>
            </w:placeholder>
            <w:showingPlcHdr/>
          </w:sdtPr>
          <w:sdtContent>
            <w:tc>
              <w:tcPr>
                <w:tcW w:w="3655" w:type="dxa"/>
              </w:tcPr>
              <w:p w14:paraId="5A28A6E7" w14:textId="640B93E2"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328783F3" w14:textId="77777777" w:rsidTr="004362DF">
        <w:trPr>
          <w:trHeight w:val="19"/>
        </w:trPr>
        <w:tc>
          <w:tcPr>
            <w:tcW w:w="5346" w:type="dxa"/>
            <w:vAlign w:val="center"/>
          </w:tcPr>
          <w:p w14:paraId="2E2E4DC7" w14:textId="77777777" w:rsidR="00405940" w:rsidRPr="004E0E1B" w:rsidRDefault="00405940" w:rsidP="004362DF">
            <w:pPr>
              <w:pStyle w:val="ListParagraph"/>
              <w:numPr>
                <w:ilvl w:val="0"/>
                <w:numId w:val="33"/>
              </w:numPr>
              <w:rPr>
                <w:rFonts w:ascii="Roboto" w:hAnsi="Roboto"/>
              </w:rPr>
            </w:pPr>
            <w:r w:rsidRPr="004E0E1B">
              <w:rPr>
                <w:rFonts w:ascii="Roboto" w:hAnsi="Roboto"/>
              </w:rPr>
              <w:t>a regulatory, administrative, legal or contractual framework that prevents mutual financial support or significantly affects the transfer of funds within the group;</w:t>
            </w:r>
          </w:p>
        </w:tc>
        <w:sdt>
          <w:sdtPr>
            <w:rPr>
              <w:rStyle w:val="PlaceholderText"/>
              <w:rFonts w:ascii="Roboto" w:hAnsi="Roboto"/>
            </w:rPr>
            <w:id w:val="1956522808"/>
            <w:placeholder>
              <w:docPart w:val="DefaultPlaceholder_-1854013440"/>
            </w:placeholder>
            <w:showingPlcHdr/>
          </w:sdtPr>
          <w:sdtContent>
            <w:tc>
              <w:tcPr>
                <w:tcW w:w="3655" w:type="dxa"/>
              </w:tcPr>
              <w:p w14:paraId="416A9FF6" w14:textId="24F72D41"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0CBBC100" w14:textId="77777777" w:rsidTr="004362DF">
        <w:trPr>
          <w:trHeight w:val="1723"/>
        </w:trPr>
        <w:tc>
          <w:tcPr>
            <w:tcW w:w="5346" w:type="dxa"/>
            <w:vAlign w:val="center"/>
          </w:tcPr>
          <w:p w14:paraId="13DDC41E" w14:textId="7AAC914C" w:rsidR="00405940" w:rsidRPr="004E0E1B" w:rsidRDefault="00405940" w:rsidP="004362DF">
            <w:pPr>
              <w:pStyle w:val="ListParagraph"/>
              <w:numPr>
                <w:ilvl w:val="0"/>
                <w:numId w:val="33"/>
              </w:numPr>
              <w:rPr>
                <w:rFonts w:ascii="Roboto" w:hAnsi="Roboto"/>
              </w:rPr>
            </w:pPr>
            <w:r w:rsidRPr="004E0E1B">
              <w:rPr>
                <w:rFonts w:ascii="Roboto" w:hAnsi="Roboto"/>
              </w:rPr>
              <w:t xml:space="preserve">any of the conditions in the early intervention, recovery and resolution as referred to in Directive 2014/59/EU </w:t>
            </w:r>
            <w:r w:rsidR="0001284B">
              <w:rPr>
                <w:rFonts w:ascii="Roboto" w:hAnsi="Roboto"/>
              </w:rPr>
              <w:t xml:space="preserve">as amended (BRRD) </w:t>
            </w:r>
            <w:r w:rsidRPr="004E0E1B">
              <w:rPr>
                <w:rFonts w:ascii="Roboto" w:hAnsi="Roboto"/>
              </w:rPr>
              <w:t>are met, as a result of which the competent authority foresees an impediment to the prompt transfer of funds or repayment of liabilities;</w:t>
            </w:r>
          </w:p>
        </w:tc>
        <w:sdt>
          <w:sdtPr>
            <w:rPr>
              <w:rStyle w:val="PlaceholderText"/>
              <w:rFonts w:ascii="Roboto" w:hAnsi="Roboto"/>
            </w:rPr>
            <w:id w:val="107092822"/>
            <w:placeholder>
              <w:docPart w:val="DefaultPlaceholder_-1854013440"/>
            </w:placeholder>
            <w:showingPlcHdr/>
          </w:sdtPr>
          <w:sdtContent>
            <w:tc>
              <w:tcPr>
                <w:tcW w:w="3655" w:type="dxa"/>
              </w:tcPr>
              <w:p w14:paraId="3DB96746" w14:textId="15754BA1"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686B9B80" w14:textId="77777777" w:rsidTr="004362DF">
        <w:trPr>
          <w:trHeight w:val="1723"/>
        </w:trPr>
        <w:tc>
          <w:tcPr>
            <w:tcW w:w="5346" w:type="dxa"/>
            <w:vAlign w:val="center"/>
          </w:tcPr>
          <w:p w14:paraId="19E7C4F0" w14:textId="77777777" w:rsidR="00405940" w:rsidRPr="004E0E1B" w:rsidRDefault="00405940" w:rsidP="004362DF">
            <w:pPr>
              <w:pStyle w:val="ListParagraph"/>
              <w:numPr>
                <w:ilvl w:val="0"/>
                <w:numId w:val="33"/>
              </w:numPr>
              <w:rPr>
                <w:rFonts w:ascii="Roboto" w:hAnsi="Roboto"/>
              </w:rPr>
            </w:pPr>
            <w:r w:rsidRPr="004E0E1B">
              <w:rPr>
                <w:rFonts w:ascii="Roboto" w:hAnsi="Roboto"/>
              </w:rPr>
              <w:t>the existence of minority interests that limit decision-making power within entities that form the group; and</w:t>
            </w:r>
          </w:p>
        </w:tc>
        <w:sdt>
          <w:sdtPr>
            <w:rPr>
              <w:rStyle w:val="PlaceholderText"/>
              <w:rFonts w:ascii="Roboto" w:hAnsi="Roboto"/>
            </w:rPr>
            <w:id w:val="-2102172490"/>
            <w:placeholder>
              <w:docPart w:val="DefaultPlaceholder_-1854013440"/>
            </w:placeholder>
            <w:showingPlcHdr/>
          </w:sdtPr>
          <w:sdtContent>
            <w:tc>
              <w:tcPr>
                <w:tcW w:w="3655" w:type="dxa"/>
              </w:tcPr>
              <w:p w14:paraId="6B7AFDE8" w14:textId="6F7EA38E"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23BFB841" w14:textId="77777777" w:rsidTr="004362DF">
        <w:trPr>
          <w:trHeight w:val="1723"/>
        </w:trPr>
        <w:tc>
          <w:tcPr>
            <w:tcW w:w="5346" w:type="dxa"/>
            <w:vAlign w:val="center"/>
          </w:tcPr>
          <w:p w14:paraId="03395ED6" w14:textId="77777777" w:rsidR="00405940" w:rsidRPr="004E0E1B" w:rsidRDefault="00405940" w:rsidP="004362DF">
            <w:pPr>
              <w:pStyle w:val="ListParagraph"/>
              <w:numPr>
                <w:ilvl w:val="0"/>
                <w:numId w:val="33"/>
              </w:numPr>
              <w:rPr>
                <w:rFonts w:ascii="Roboto" w:hAnsi="Roboto"/>
              </w:rPr>
            </w:pPr>
            <w:r w:rsidRPr="004E0E1B">
              <w:rPr>
                <w:rFonts w:ascii="Roboto" w:hAnsi="Roboto"/>
              </w:rPr>
              <w:t>the nature of the legal structure of the counterparty, as defined in its statutes, instruments of incorporation and internal rules.</w:t>
            </w:r>
          </w:p>
        </w:tc>
        <w:sdt>
          <w:sdtPr>
            <w:rPr>
              <w:rStyle w:val="PlaceholderText"/>
              <w:rFonts w:ascii="Roboto" w:hAnsi="Roboto"/>
            </w:rPr>
            <w:id w:val="321701268"/>
            <w:placeholder>
              <w:docPart w:val="DefaultPlaceholder_-1854013440"/>
            </w:placeholder>
            <w:showingPlcHdr/>
          </w:sdtPr>
          <w:sdtContent>
            <w:tc>
              <w:tcPr>
                <w:tcW w:w="3655" w:type="dxa"/>
              </w:tcPr>
              <w:p w14:paraId="4AF7E958" w14:textId="3F05DD4F" w:rsidR="00405940" w:rsidRPr="004E0E1B" w:rsidRDefault="00DA1A25" w:rsidP="00405940">
                <w:pPr>
                  <w:rPr>
                    <w:rFonts w:ascii="Roboto" w:hAnsi="Roboto"/>
                  </w:rPr>
                </w:pPr>
                <w:r w:rsidRPr="009645F3">
                  <w:rPr>
                    <w:rStyle w:val="PlaceholderText"/>
                  </w:rPr>
                  <w:t>Click or tap here to enter text.</w:t>
                </w:r>
              </w:p>
            </w:tc>
          </w:sdtContent>
        </w:sdt>
      </w:tr>
      <w:tr w:rsidR="0064015B" w:rsidRPr="004E0E1B" w14:paraId="701AD39F" w14:textId="77777777" w:rsidTr="004362DF">
        <w:trPr>
          <w:trHeight w:val="1723"/>
        </w:trPr>
        <w:tc>
          <w:tcPr>
            <w:tcW w:w="5346" w:type="dxa"/>
            <w:vAlign w:val="center"/>
          </w:tcPr>
          <w:p w14:paraId="0D0C5395" w14:textId="61DA09F6" w:rsidR="0064015B" w:rsidRPr="004E0E1B" w:rsidRDefault="0064015B" w:rsidP="0064015B">
            <w:pPr>
              <w:rPr>
                <w:rFonts w:ascii="Roboto" w:hAnsi="Roboto"/>
                <w:b/>
              </w:rPr>
            </w:pPr>
            <w:r w:rsidRPr="004E0E1B">
              <w:rPr>
                <w:rFonts w:ascii="Roboto" w:hAnsi="Roboto"/>
                <w:b/>
              </w:rPr>
              <w:t xml:space="preserve">Is there any unforeseen </w:t>
            </w:r>
            <w:r w:rsidRPr="004E0E1B">
              <w:rPr>
                <w:rFonts w:ascii="Roboto" w:hAnsi="Roboto"/>
                <w:b/>
                <w:u w:val="single"/>
              </w:rPr>
              <w:t>practical</w:t>
            </w:r>
            <w:r w:rsidRPr="004E0E1B">
              <w:rPr>
                <w:rFonts w:ascii="Roboto" w:hAnsi="Roboto"/>
                <w:b/>
              </w:rPr>
              <w:t xml:space="preserve"> impediment to the prompt transfer of own funds or repayment of liabilities between the counterparties, in accordance with paragraph (b) of Article 11(6) to 11(10) of EMIR</w:t>
            </w:r>
            <w:r w:rsidR="0001284B">
              <w:rPr>
                <w:rFonts w:ascii="Roboto" w:hAnsi="Roboto"/>
                <w:b/>
              </w:rPr>
              <w:t xml:space="preserve"> as amended</w:t>
            </w:r>
            <w:r w:rsidRPr="004E0E1B">
              <w:rPr>
                <w:rFonts w:ascii="Roboto" w:hAnsi="Roboto"/>
                <w:b/>
              </w:rPr>
              <w:t xml:space="preserve"> and supplemented by Article 34 of the </w:t>
            </w:r>
            <w:r w:rsidRPr="004E0E1B">
              <w:rPr>
                <w:rFonts w:ascii="Roboto" w:hAnsi="Roboto"/>
                <w:b/>
              </w:rPr>
              <w:lastRenderedPageBreak/>
              <w:t>Commission Delegated Regulation 2016/2251</w:t>
            </w:r>
            <w:r w:rsidR="0001284B">
              <w:rPr>
                <w:rFonts w:ascii="Roboto" w:hAnsi="Roboto"/>
                <w:b/>
              </w:rPr>
              <w:t xml:space="preserve"> as amended</w:t>
            </w:r>
            <w:r w:rsidRPr="004E0E1B">
              <w:rPr>
                <w:rFonts w:ascii="Roboto" w:hAnsi="Roboto"/>
                <w:b/>
              </w:rPr>
              <w:t>?</w:t>
            </w:r>
          </w:p>
        </w:tc>
        <w:sdt>
          <w:sdtPr>
            <w:rPr>
              <w:rStyle w:val="PlaceholderText"/>
              <w:rFonts w:ascii="Roboto" w:hAnsi="Roboto"/>
            </w:rPr>
            <w:id w:val="702909895"/>
            <w:placeholder>
              <w:docPart w:val="DefaultPlaceholder_-1854013440"/>
            </w:placeholder>
            <w:showingPlcHdr/>
          </w:sdtPr>
          <w:sdtContent>
            <w:tc>
              <w:tcPr>
                <w:tcW w:w="3655" w:type="dxa"/>
              </w:tcPr>
              <w:p w14:paraId="2CEF36EC" w14:textId="36C42800" w:rsidR="0064015B" w:rsidRPr="004E0E1B" w:rsidRDefault="00DA1A25" w:rsidP="0064015B">
                <w:pPr>
                  <w:rPr>
                    <w:rFonts w:ascii="Roboto" w:hAnsi="Roboto"/>
                  </w:rPr>
                </w:pPr>
                <w:r w:rsidRPr="009645F3">
                  <w:rPr>
                    <w:rStyle w:val="PlaceholderText"/>
                  </w:rPr>
                  <w:t>Click or tap here to enter text.</w:t>
                </w:r>
              </w:p>
            </w:tc>
          </w:sdtContent>
        </w:sdt>
      </w:tr>
      <w:tr w:rsidR="0064015B" w:rsidRPr="004E0E1B" w14:paraId="13F71A34" w14:textId="77777777" w:rsidTr="004362DF">
        <w:trPr>
          <w:trHeight w:val="1723"/>
        </w:trPr>
        <w:tc>
          <w:tcPr>
            <w:tcW w:w="5346" w:type="dxa"/>
            <w:vAlign w:val="center"/>
          </w:tcPr>
          <w:p w14:paraId="50357D70" w14:textId="463AE912" w:rsidR="0064015B" w:rsidRPr="004E0E1B" w:rsidRDefault="0064015B" w:rsidP="0064015B">
            <w:pPr>
              <w:rPr>
                <w:rFonts w:ascii="Roboto" w:hAnsi="Roboto"/>
                <w:b/>
              </w:rPr>
            </w:pPr>
            <w:r w:rsidRPr="004E0E1B">
              <w:rPr>
                <w:rFonts w:ascii="Roboto" w:hAnsi="Roboto"/>
                <w:b/>
              </w:rPr>
              <w:t xml:space="preserve">Describe the measures that have been taken to assess whether there is any </w:t>
            </w:r>
            <w:r w:rsidRPr="004E0E1B">
              <w:rPr>
                <w:rFonts w:ascii="Roboto" w:hAnsi="Roboto"/>
                <w:b/>
                <w:u w:val="single"/>
              </w:rPr>
              <w:t>practical</w:t>
            </w:r>
            <w:r w:rsidRPr="004E0E1B">
              <w:rPr>
                <w:rFonts w:ascii="Roboto" w:hAnsi="Roboto"/>
                <w:b/>
              </w:rPr>
              <w:t xml:space="preserve"> impediment, including any of the following restrictions, as per Article 34 of Commission Delegated Regulation 2016/2251</w:t>
            </w:r>
            <w:r w:rsidR="0001284B">
              <w:rPr>
                <w:rFonts w:ascii="Roboto" w:hAnsi="Roboto"/>
                <w:b/>
              </w:rPr>
              <w:t xml:space="preserve"> as amended</w:t>
            </w:r>
            <w:r w:rsidRPr="004E0E1B">
              <w:rPr>
                <w:rFonts w:ascii="Roboto" w:hAnsi="Roboto"/>
                <w:b/>
              </w:rPr>
              <w:t>:</w:t>
            </w:r>
          </w:p>
        </w:tc>
        <w:tc>
          <w:tcPr>
            <w:tcW w:w="3655" w:type="dxa"/>
          </w:tcPr>
          <w:p w14:paraId="2F1A0323" w14:textId="77777777" w:rsidR="0064015B" w:rsidRPr="004E0E1B" w:rsidRDefault="0064015B" w:rsidP="0064015B">
            <w:pPr>
              <w:rPr>
                <w:rFonts w:ascii="Roboto" w:hAnsi="Roboto"/>
              </w:rPr>
            </w:pPr>
          </w:p>
        </w:tc>
      </w:tr>
      <w:tr w:rsidR="00405940" w:rsidRPr="004E0E1B" w14:paraId="053CCF97" w14:textId="77777777" w:rsidTr="004362DF">
        <w:trPr>
          <w:trHeight w:val="1723"/>
        </w:trPr>
        <w:tc>
          <w:tcPr>
            <w:tcW w:w="5346" w:type="dxa"/>
            <w:vAlign w:val="center"/>
          </w:tcPr>
          <w:p w14:paraId="09B4F11F" w14:textId="77777777" w:rsidR="00405940" w:rsidRPr="004E0E1B" w:rsidRDefault="00405940" w:rsidP="004362DF">
            <w:pPr>
              <w:pStyle w:val="ListParagraph"/>
              <w:numPr>
                <w:ilvl w:val="0"/>
                <w:numId w:val="31"/>
              </w:numPr>
              <w:rPr>
                <w:rFonts w:ascii="Roboto" w:hAnsi="Roboto"/>
              </w:rPr>
            </w:pPr>
            <w:r w:rsidRPr="004E0E1B">
              <w:rPr>
                <w:rFonts w:ascii="Roboto" w:hAnsi="Roboto"/>
              </w:rPr>
              <w:t>a. insufficient availability of unencumbered or liquid assets to the relevant counterparty when due; and</w:t>
            </w:r>
          </w:p>
        </w:tc>
        <w:sdt>
          <w:sdtPr>
            <w:rPr>
              <w:rStyle w:val="PlaceholderText"/>
              <w:rFonts w:ascii="Roboto" w:hAnsi="Roboto"/>
            </w:rPr>
            <w:id w:val="302127681"/>
            <w:placeholder>
              <w:docPart w:val="DefaultPlaceholder_-1854013440"/>
            </w:placeholder>
            <w:showingPlcHdr/>
          </w:sdtPr>
          <w:sdtContent>
            <w:tc>
              <w:tcPr>
                <w:tcW w:w="3655" w:type="dxa"/>
              </w:tcPr>
              <w:p w14:paraId="7D92D686" w14:textId="61F186F2" w:rsidR="00405940" w:rsidRPr="004E0E1B" w:rsidRDefault="00DA1A25" w:rsidP="00405940">
                <w:pPr>
                  <w:rPr>
                    <w:rFonts w:ascii="Roboto" w:hAnsi="Roboto"/>
                  </w:rPr>
                </w:pPr>
                <w:r w:rsidRPr="009645F3">
                  <w:rPr>
                    <w:rStyle w:val="PlaceholderText"/>
                  </w:rPr>
                  <w:t>Click or tap here to enter text.</w:t>
                </w:r>
              </w:p>
            </w:tc>
          </w:sdtContent>
        </w:sdt>
      </w:tr>
      <w:tr w:rsidR="00405940" w:rsidRPr="004E0E1B" w14:paraId="3CBCB32C" w14:textId="77777777" w:rsidTr="004362DF">
        <w:trPr>
          <w:trHeight w:val="1723"/>
        </w:trPr>
        <w:tc>
          <w:tcPr>
            <w:tcW w:w="5346" w:type="dxa"/>
            <w:vAlign w:val="center"/>
          </w:tcPr>
          <w:p w14:paraId="08F47F8B" w14:textId="77777777" w:rsidR="00405940" w:rsidRPr="004E0E1B" w:rsidRDefault="00405940" w:rsidP="004362DF">
            <w:pPr>
              <w:pStyle w:val="ListParagraph"/>
              <w:numPr>
                <w:ilvl w:val="0"/>
                <w:numId w:val="31"/>
              </w:numPr>
              <w:rPr>
                <w:rFonts w:ascii="Roboto" w:hAnsi="Roboto" w:cs="Times New Roman"/>
              </w:rPr>
            </w:pPr>
            <w:r w:rsidRPr="004E0E1B">
              <w:rPr>
                <w:rFonts w:ascii="Roboto" w:hAnsi="Roboto"/>
              </w:rPr>
              <w:t>impediments of an operational nature which effectively delay or prevent such transfers or repayments when due.</w:t>
            </w:r>
          </w:p>
          <w:p w14:paraId="26CDA701" w14:textId="77777777" w:rsidR="00405940" w:rsidRPr="004E0E1B" w:rsidRDefault="00405940" w:rsidP="00405940">
            <w:pPr>
              <w:rPr>
                <w:rFonts w:ascii="Roboto" w:hAnsi="Roboto"/>
              </w:rPr>
            </w:pPr>
          </w:p>
        </w:tc>
        <w:sdt>
          <w:sdtPr>
            <w:rPr>
              <w:rStyle w:val="PlaceholderText"/>
              <w:rFonts w:ascii="Roboto" w:hAnsi="Roboto"/>
            </w:rPr>
            <w:id w:val="333955103"/>
            <w:placeholder>
              <w:docPart w:val="DefaultPlaceholder_-1854013440"/>
            </w:placeholder>
            <w:showingPlcHdr/>
          </w:sdtPr>
          <w:sdtContent>
            <w:tc>
              <w:tcPr>
                <w:tcW w:w="3655" w:type="dxa"/>
              </w:tcPr>
              <w:p w14:paraId="3A8C8AFC" w14:textId="7F4BA1DB" w:rsidR="00405940" w:rsidRPr="004E0E1B" w:rsidRDefault="00DA1A25" w:rsidP="00405940">
                <w:pPr>
                  <w:rPr>
                    <w:rFonts w:ascii="Roboto" w:hAnsi="Roboto"/>
                  </w:rPr>
                </w:pPr>
                <w:r w:rsidRPr="009645F3">
                  <w:rPr>
                    <w:rStyle w:val="PlaceholderText"/>
                  </w:rPr>
                  <w:t>Click or tap here to enter text.</w:t>
                </w:r>
              </w:p>
            </w:tc>
          </w:sdtContent>
        </w:sdt>
      </w:tr>
    </w:tbl>
    <w:p w14:paraId="590B7AE5" w14:textId="77777777" w:rsidR="00C45877" w:rsidRDefault="00C45877">
      <w:pPr>
        <w:spacing w:after="160" w:line="259" w:lineRule="auto"/>
        <w:jc w:val="left"/>
        <w:rPr>
          <w:rFonts w:ascii="Roboto" w:hAnsi="Roboto"/>
        </w:rPr>
      </w:pPr>
    </w:p>
    <w:p w14:paraId="344CD482" w14:textId="77777777" w:rsidR="004E3FB4" w:rsidRPr="004E3FB4" w:rsidRDefault="004E3FB4" w:rsidP="00965E1D">
      <w:pPr>
        <w:rPr>
          <w:rFonts w:ascii="Roboto" w:hAnsi="Roboto"/>
        </w:rPr>
      </w:pPr>
      <w:r w:rsidRPr="004E3FB4">
        <w:rPr>
          <w:rFonts w:ascii="Roboto" w:hAnsi="Roboto"/>
        </w:rPr>
        <w:t>The applicant shall provide a detailed assessment of whether there is any current or foreseen legal or practical impediment to the prompt transfer of own funds or repayment of liabilities between the counterparties.</w:t>
      </w:r>
    </w:p>
    <w:p w14:paraId="02814909" w14:textId="77777777" w:rsidR="004E3FB4" w:rsidRPr="004E3FB4" w:rsidRDefault="004E3FB4" w:rsidP="00965E1D">
      <w:pPr>
        <w:rPr>
          <w:rFonts w:ascii="Roboto" w:hAnsi="Roboto"/>
        </w:rPr>
      </w:pPr>
    </w:p>
    <w:p w14:paraId="34DB8E86" w14:textId="3A92FC98" w:rsidR="004E3FB4" w:rsidRPr="004E3FB4" w:rsidRDefault="004E3FB4" w:rsidP="00965E1D">
      <w:pPr>
        <w:rPr>
          <w:rFonts w:ascii="Roboto" w:hAnsi="Roboto"/>
        </w:rPr>
      </w:pPr>
      <w:r w:rsidRPr="004E3FB4">
        <w:rPr>
          <w:rFonts w:ascii="Roboto" w:hAnsi="Roboto"/>
        </w:rPr>
        <w:t xml:space="preserve">This assessment should address, where relevant, the matters set out in Articles 33 and 34 of Commission Delegated Regulation (EU) 2016/2251 </w:t>
      </w:r>
      <w:r w:rsidR="0001284B">
        <w:rPr>
          <w:rFonts w:ascii="Roboto" w:hAnsi="Roboto"/>
        </w:rPr>
        <w:t xml:space="preserve">as amended </w:t>
      </w:r>
      <w:r w:rsidRPr="004E3FB4">
        <w:rPr>
          <w:rFonts w:ascii="Roboto" w:hAnsi="Roboto"/>
        </w:rPr>
        <w:t>and should be supported by internal analyses, legal opinions, treasury assessments, funding documentation, or other relevant evidence.</w:t>
      </w:r>
    </w:p>
    <w:p w14:paraId="65F7839F" w14:textId="77777777" w:rsidR="004E3FB4" w:rsidRPr="004E3FB4" w:rsidRDefault="004E3FB4" w:rsidP="00965E1D">
      <w:pPr>
        <w:rPr>
          <w:rFonts w:ascii="Roboto" w:hAnsi="Roboto"/>
        </w:rPr>
      </w:pPr>
    </w:p>
    <w:p w14:paraId="63814C8B" w14:textId="77777777" w:rsidR="004E3FB4" w:rsidRPr="004E3FB4" w:rsidRDefault="004E3FB4" w:rsidP="00965E1D">
      <w:pPr>
        <w:rPr>
          <w:rFonts w:ascii="Roboto" w:hAnsi="Roboto"/>
        </w:rPr>
      </w:pPr>
      <w:r w:rsidRPr="004E3FB4">
        <w:rPr>
          <w:rFonts w:ascii="Roboto" w:hAnsi="Roboto"/>
        </w:rPr>
        <w:t>The Authority may request additional documentation where necessary to verify the absence of legal or practical impediments.</w:t>
      </w:r>
    </w:p>
    <w:p w14:paraId="6CBB7223" w14:textId="77777777" w:rsidR="00C45877" w:rsidRDefault="00C45877">
      <w:pPr>
        <w:spacing w:after="160" w:line="259" w:lineRule="auto"/>
        <w:jc w:val="left"/>
        <w:rPr>
          <w:rFonts w:ascii="Roboto" w:hAnsi="Roboto"/>
        </w:rPr>
      </w:pPr>
    </w:p>
    <w:p w14:paraId="2E327FB8" w14:textId="5CF2E155" w:rsidR="00065B78" w:rsidRPr="00965E1D" w:rsidRDefault="00065B78" w:rsidP="00965E1D">
      <w:r w:rsidRPr="00965E1D">
        <w:br w:type="page"/>
      </w:r>
    </w:p>
    <w:p w14:paraId="625A7C6D" w14:textId="0A4549A9" w:rsidR="0064015B" w:rsidRPr="004E0E1B" w:rsidRDefault="005560EC" w:rsidP="0064015B">
      <w:pPr>
        <w:pStyle w:val="Heading1"/>
        <w:rPr>
          <w:rFonts w:ascii="Roboto" w:hAnsi="Roboto"/>
        </w:rPr>
      </w:pPr>
      <w:r w:rsidRPr="004E0E1B">
        <w:rPr>
          <w:rFonts w:ascii="Roboto" w:hAnsi="Roboto"/>
        </w:rPr>
        <w:lastRenderedPageBreak/>
        <w:drawing>
          <wp:anchor distT="0" distB="0" distL="114300" distR="114300" simplePos="0" relativeHeight="251659776" behindDoc="0" locked="0" layoutInCell="1" allowOverlap="1" wp14:anchorId="09103853" wp14:editId="3010A98D">
            <wp:simplePos x="0" y="0"/>
            <wp:positionH relativeFrom="margin">
              <wp:posOffset>0</wp:posOffset>
            </wp:positionH>
            <wp:positionV relativeFrom="paragraph">
              <wp:posOffset>481330</wp:posOffset>
            </wp:positionV>
            <wp:extent cx="713740" cy="168275"/>
            <wp:effectExtent l="0" t="0" r="0" b="0"/>
            <wp:wrapThrough wrapText="bothSides">
              <wp:wrapPolygon edited="0">
                <wp:start x="0" y="0"/>
                <wp:lineTo x="0" y="19562"/>
                <wp:lineTo x="20754" y="19562"/>
                <wp:lineTo x="20754" y="0"/>
                <wp:lineTo x="0" y="0"/>
              </wp:wrapPolygon>
            </wp:wrapThrough>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l="11800" t="19539"/>
                    <a:stretch>
                      <a:fillRect/>
                    </a:stretch>
                  </pic:blipFill>
                  <pic:spPr bwMode="auto">
                    <a:xfrm>
                      <a:off x="0" y="0"/>
                      <a:ext cx="713740" cy="168275"/>
                    </a:xfrm>
                    <a:prstGeom prst="rect">
                      <a:avLst/>
                    </a:prstGeom>
                    <a:noFill/>
                  </pic:spPr>
                </pic:pic>
              </a:graphicData>
            </a:graphic>
            <wp14:sizeRelH relativeFrom="page">
              <wp14:pctWidth>0</wp14:pctWidth>
            </wp14:sizeRelH>
            <wp14:sizeRelV relativeFrom="page">
              <wp14:pctHeight>0</wp14:pctHeight>
            </wp14:sizeRelV>
          </wp:anchor>
        </w:drawing>
      </w:r>
      <w:r w:rsidR="0064015B" w:rsidRPr="004E0E1B">
        <w:rPr>
          <w:rFonts w:ascii="Roboto" w:hAnsi="Roboto"/>
        </w:rPr>
        <w:t>Conclusion and Declaration</w:t>
      </w:r>
    </w:p>
    <w:p w14:paraId="44643F7C" w14:textId="77777777" w:rsidR="0064015B" w:rsidRPr="004E0E1B" w:rsidRDefault="0064015B" w:rsidP="0064015B">
      <w:pPr>
        <w:rPr>
          <w:rFonts w:ascii="Roboto" w:hAnsi="Roboto"/>
        </w:rPr>
      </w:pPr>
    </w:p>
    <w:p w14:paraId="54E44260" w14:textId="77777777" w:rsidR="0064015B" w:rsidRPr="004E0E1B" w:rsidRDefault="0064015B" w:rsidP="0064015B">
      <w:pPr>
        <w:pStyle w:val="Heading2"/>
        <w:rPr>
          <w:rFonts w:ascii="Roboto" w:hAnsi="Roboto"/>
        </w:rPr>
      </w:pPr>
      <w:r w:rsidRPr="004E0E1B">
        <w:rPr>
          <w:rFonts w:ascii="Roboto" w:hAnsi="Roboto"/>
        </w:rPr>
        <w:t>Conclusion</w:t>
      </w:r>
    </w:p>
    <w:p w14:paraId="53D33DE8" w14:textId="77777777" w:rsidR="0064015B" w:rsidRPr="004E0E1B" w:rsidRDefault="0064015B" w:rsidP="0064015B">
      <w:pPr>
        <w:rPr>
          <w:rFonts w:ascii="Roboto" w:hAnsi="Roboto"/>
          <w:lang w:eastAsia="en-GB"/>
        </w:rPr>
      </w:pPr>
    </w:p>
    <w:p w14:paraId="69FACFBC" w14:textId="4CEBD292" w:rsidR="0064015B" w:rsidRPr="004E0E1B" w:rsidRDefault="004E3FB4" w:rsidP="0064015B">
      <w:pPr>
        <w:rPr>
          <w:rFonts w:ascii="Roboto" w:hAnsi="Roboto"/>
        </w:rPr>
      </w:pPr>
      <w:r w:rsidRPr="004E3FB4">
        <w:rPr>
          <w:rFonts w:ascii="Roboto" w:hAnsi="Roboto"/>
        </w:rPr>
        <w:t>Notifications and applications relating to intragroup exemptions for entities established in Malta should be submitted to the MFSA at:</w:t>
      </w:r>
      <w:r w:rsidR="0064015B" w:rsidRPr="004E0E1B">
        <w:rPr>
          <w:rFonts w:ascii="Roboto" w:hAnsi="Roboto"/>
        </w:rPr>
        <w:t xml:space="preserve"> </w:t>
      </w:r>
      <w:hyperlink r:id="rId10" w:history="1">
        <w:r w:rsidR="002B16FC" w:rsidRPr="004E0E1B">
          <w:rPr>
            <w:rStyle w:val="Hyperlink"/>
            <w:rFonts w:ascii="Roboto" w:hAnsi="Roboto"/>
            <w:b/>
          </w:rPr>
          <w:t>EMIR@mfsa.mt</w:t>
        </w:r>
      </w:hyperlink>
    </w:p>
    <w:p w14:paraId="5600530F" w14:textId="77777777" w:rsidR="0064015B" w:rsidRPr="004E0E1B" w:rsidRDefault="0064015B" w:rsidP="0064015B">
      <w:pPr>
        <w:rPr>
          <w:rFonts w:ascii="Roboto" w:hAnsi="Roboto"/>
        </w:rPr>
      </w:pPr>
    </w:p>
    <w:p w14:paraId="657F58A3" w14:textId="0DFA0794" w:rsidR="0064015B" w:rsidRPr="00965E1D" w:rsidRDefault="0064015B" w:rsidP="0064015B">
      <w:pPr>
        <w:rPr>
          <w:rFonts w:ascii="Roboto" w:hAnsi="Roboto"/>
          <w:b/>
        </w:rPr>
      </w:pPr>
      <w:r w:rsidRPr="004E0E1B">
        <w:rPr>
          <w:rFonts w:ascii="Roboto" w:hAnsi="Roboto"/>
          <w:b/>
        </w:rPr>
        <w:t xml:space="preserve">Please also ensure that your intragroup counterparty also applies to its competent authority </w:t>
      </w:r>
      <w:r w:rsidR="00C45877" w:rsidRPr="00C45877">
        <w:rPr>
          <w:rFonts w:ascii="Roboto" w:hAnsi="Roboto"/>
          <w:b/>
        </w:rPr>
        <w:t>in a timely manner and, where required by the applicable EMIR procedure, within the corresponding notification or application process</w:t>
      </w:r>
      <w:r w:rsidRPr="00965E1D">
        <w:rPr>
          <w:rFonts w:ascii="Roboto" w:hAnsi="Roboto"/>
          <w:b/>
        </w:rPr>
        <w:t>.</w:t>
      </w:r>
    </w:p>
    <w:p w14:paraId="61785E86" w14:textId="77777777" w:rsidR="0064015B" w:rsidRPr="00965E1D" w:rsidRDefault="0064015B" w:rsidP="0064015B">
      <w:pPr>
        <w:rPr>
          <w:rFonts w:ascii="Roboto" w:hAnsi="Roboto"/>
        </w:rPr>
      </w:pPr>
    </w:p>
    <w:p w14:paraId="61CF1770" w14:textId="23F59B82" w:rsidR="0064015B" w:rsidRPr="00965E1D" w:rsidRDefault="0064015B" w:rsidP="0064015B">
      <w:pPr>
        <w:rPr>
          <w:rFonts w:ascii="Roboto" w:hAnsi="Roboto"/>
        </w:rPr>
      </w:pPr>
      <w:r w:rsidRPr="00965E1D">
        <w:rPr>
          <w:rFonts w:ascii="Roboto" w:hAnsi="Roboto"/>
        </w:rPr>
        <w:t>Kindly allow 30 calendar days for the MFSA to consider notifications for those entities applying for intragroup exemptions from the clearing obligation, and 3 months for those entities applying for intragroup exemptions from the exchange of collateral</w:t>
      </w:r>
      <w:r w:rsidR="00D557D9" w:rsidRPr="00965E1D">
        <w:rPr>
          <w:rFonts w:ascii="Roboto" w:hAnsi="Roboto"/>
        </w:rPr>
        <w:t xml:space="preserve"> and/or reporting obligation</w:t>
      </w:r>
      <w:r w:rsidRPr="00965E1D">
        <w:rPr>
          <w:rFonts w:ascii="Roboto" w:hAnsi="Roboto"/>
        </w:rPr>
        <w:t xml:space="preserve"> </w:t>
      </w:r>
    </w:p>
    <w:p w14:paraId="60C31EF1" w14:textId="4C0178C1" w:rsidR="0064015B" w:rsidRPr="00965E1D" w:rsidRDefault="0064015B" w:rsidP="0064015B">
      <w:pPr>
        <w:rPr>
          <w:rFonts w:ascii="Roboto" w:hAnsi="Roboto"/>
        </w:rPr>
      </w:pPr>
      <w:r w:rsidRPr="00965E1D">
        <w:rPr>
          <w:rFonts w:ascii="Roboto" w:hAnsi="Roboto"/>
        </w:rPr>
        <w:br/>
        <w:t xml:space="preserve">The MFSA will provide its </w:t>
      </w:r>
      <w:r w:rsidR="00BF71A7" w:rsidRPr="00BF71A7">
        <w:rPr>
          <w:rFonts w:ascii="Roboto" w:hAnsi="Roboto"/>
        </w:rPr>
        <w:t>response to the notification or application, in accordance with the relevant EMIR legal pathway (including, where applicable, a no-objection process or a positive decision requirement),</w:t>
      </w:r>
      <w:r w:rsidR="00BF71A7">
        <w:rPr>
          <w:rFonts w:ascii="Roboto" w:hAnsi="Roboto"/>
        </w:rPr>
        <w:t xml:space="preserve"> </w:t>
      </w:r>
      <w:r w:rsidRPr="00965E1D">
        <w:rPr>
          <w:rFonts w:ascii="Roboto" w:hAnsi="Roboto"/>
        </w:rPr>
        <w:t>within the stipulated timeframe, however, should the MFSA have an objection to the use of this exemption, you will be notified in advance about such an opposition. In the instance of a potential objection to the use of the exemption, the MFSA intends to allow you with a short period of time to provide any relevant additional information before a final decision is made.</w:t>
      </w:r>
    </w:p>
    <w:p w14:paraId="3886FC09" w14:textId="77777777" w:rsidR="0064015B" w:rsidRPr="00965E1D" w:rsidRDefault="0064015B" w:rsidP="0064015B">
      <w:pPr>
        <w:rPr>
          <w:rFonts w:ascii="Roboto" w:hAnsi="Roboto"/>
        </w:rPr>
      </w:pPr>
    </w:p>
    <w:p w14:paraId="2D7FC21B" w14:textId="77777777" w:rsidR="0064015B" w:rsidRPr="00965E1D" w:rsidRDefault="0064015B" w:rsidP="0064015B">
      <w:pPr>
        <w:rPr>
          <w:rFonts w:ascii="Roboto" w:hAnsi="Roboto"/>
        </w:rPr>
      </w:pPr>
      <w:r w:rsidRPr="00965E1D">
        <w:rPr>
          <w:rFonts w:ascii="Roboto" w:hAnsi="Roboto"/>
        </w:rPr>
        <w:t xml:space="preserve">Should such an exemption be approved the entity is being reminded that the information on the intragroup exemption should be made public. </w:t>
      </w:r>
    </w:p>
    <w:p w14:paraId="194661AC" w14:textId="77777777" w:rsidR="0064015B" w:rsidRPr="00965E1D" w:rsidRDefault="0064015B" w:rsidP="0064015B">
      <w:pPr>
        <w:rPr>
          <w:rFonts w:ascii="Roboto" w:hAnsi="Roboto"/>
        </w:rPr>
      </w:pPr>
    </w:p>
    <w:p w14:paraId="60CA2C23" w14:textId="77777777" w:rsidR="009438F5" w:rsidRPr="009438F5" w:rsidRDefault="009438F5" w:rsidP="009438F5">
      <w:pPr>
        <w:rPr>
          <w:rFonts w:ascii="Roboto" w:hAnsi="Roboto"/>
        </w:rPr>
      </w:pPr>
      <w:r w:rsidRPr="009438F5">
        <w:rPr>
          <w:rFonts w:ascii="Roboto" w:hAnsi="Roboto"/>
        </w:rPr>
        <w:t>Where public disclosure is required under the applicable EMIR framework, the information to be disclosed should include, as applicable:</w:t>
      </w:r>
    </w:p>
    <w:p w14:paraId="470C1B5F" w14:textId="6F5C341B" w:rsidR="009438F5" w:rsidRPr="00965E1D" w:rsidRDefault="009438F5" w:rsidP="00965E1D">
      <w:pPr>
        <w:pStyle w:val="ListParagraph"/>
        <w:numPr>
          <w:ilvl w:val="2"/>
          <w:numId w:val="46"/>
        </w:numPr>
        <w:ind w:left="720"/>
        <w:rPr>
          <w:rFonts w:ascii="Roboto" w:hAnsi="Roboto"/>
        </w:rPr>
      </w:pPr>
      <w:r w:rsidRPr="00965E1D">
        <w:rPr>
          <w:rFonts w:ascii="Roboto" w:hAnsi="Roboto"/>
        </w:rPr>
        <w:t>the legal counterparties to the transactions and their Legal Entity Identifiers (LEIs), where applicable;</w:t>
      </w:r>
    </w:p>
    <w:p w14:paraId="3682F17D" w14:textId="6E9B0D5C" w:rsidR="009438F5" w:rsidRPr="00965E1D" w:rsidRDefault="009438F5" w:rsidP="00965E1D">
      <w:pPr>
        <w:pStyle w:val="ListParagraph"/>
        <w:numPr>
          <w:ilvl w:val="2"/>
          <w:numId w:val="46"/>
        </w:numPr>
        <w:ind w:left="720"/>
        <w:rPr>
          <w:rFonts w:ascii="Roboto" w:hAnsi="Roboto"/>
        </w:rPr>
      </w:pPr>
      <w:r w:rsidRPr="00965E1D">
        <w:rPr>
          <w:rFonts w:ascii="Roboto" w:hAnsi="Roboto"/>
        </w:rPr>
        <w:t>the relationship between the counterparties;</w:t>
      </w:r>
    </w:p>
    <w:p w14:paraId="58772A6A" w14:textId="08811F5A" w:rsidR="009438F5" w:rsidRPr="00965E1D" w:rsidRDefault="009438F5" w:rsidP="00965E1D">
      <w:pPr>
        <w:pStyle w:val="ListParagraph"/>
        <w:numPr>
          <w:ilvl w:val="2"/>
          <w:numId w:val="46"/>
        </w:numPr>
        <w:ind w:left="720"/>
        <w:rPr>
          <w:rFonts w:ascii="Roboto" w:hAnsi="Roboto"/>
        </w:rPr>
      </w:pPr>
      <w:r w:rsidRPr="00965E1D">
        <w:rPr>
          <w:rFonts w:ascii="Roboto" w:hAnsi="Roboto"/>
        </w:rPr>
        <w:t>whether the exemption is full or partial; and</w:t>
      </w:r>
    </w:p>
    <w:p w14:paraId="6EA314D3" w14:textId="2B196809" w:rsidR="009438F5" w:rsidRPr="00965E1D" w:rsidRDefault="009438F5" w:rsidP="00965E1D">
      <w:pPr>
        <w:pStyle w:val="ListParagraph"/>
        <w:numPr>
          <w:ilvl w:val="2"/>
          <w:numId w:val="46"/>
        </w:numPr>
        <w:ind w:left="720"/>
        <w:rPr>
          <w:rFonts w:ascii="Roboto" w:hAnsi="Roboto"/>
        </w:rPr>
      </w:pPr>
      <w:r w:rsidRPr="00965E1D">
        <w:rPr>
          <w:rFonts w:ascii="Roboto" w:hAnsi="Roboto"/>
        </w:rPr>
        <w:lastRenderedPageBreak/>
        <w:t>the aggregate notional amount of the OTC derivative contracts to which the exemption applies.</w:t>
      </w:r>
    </w:p>
    <w:p w14:paraId="0162C736" w14:textId="77777777" w:rsidR="009438F5" w:rsidRPr="009438F5" w:rsidRDefault="009438F5" w:rsidP="00965E1D">
      <w:pPr>
        <w:ind w:left="360"/>
        <w:rPr>
          <w:rFonts w:ascii="Roboto" w:hAnsi="Roboto"/>
        </w:rPr>
      </w:pPr>
    </w:p>
    <w:p w14:paraId="45810D1A" w14:textId="77777777" w:rsidR="009438F5" w:rsidRPr="009438F5" w:rsidRDefault="009438F5" w:rsidP="009438F5">
      <w:pPr>
        <w:rPr>
          <w:rFonts w:ascii="Roboto" w:hAnsi="Roboto"/>
        </w:rPr>
      </w:pPr>
      <w:r w:rsidRPr="009438F5">
        <w:rPr>
          <w:rFonts w:ascii="Roboto" w:hAnsi="Roboto"/>
        </w:rPr>
        <w:t>Any such disclosure should be made in accordance with the EMIR framework in force at the time of disclosure.</w:t>
      </w:r>
    </w:p>
    <w:p w14:paraId="45D783A0" w14:textId="77777777" w:rsidR="0064015B" w:rsidRPr="00965E1D" w:rsidRDefault="0064015B" w:rsidP="0064015B">
      <w:pPr>
        <w:rPr>
          <w:rFonts w:ascii="Roboto" w:hAnsi="Roboto"/>
        </w:rPr>
      </w:pPr>
    </w:p>
    <w:p w14:paraId="77E17CF2" w14:textId="7D0CE705" w:rsidR="0064015B" w:rsidRPr="00965E1D" w:rsidRDefault="0064015B">
      <w:pPr>
        <w:spacing w:after="160" w:line="259" w:lineRule="auto"/>
        <w:jc w:val="left"/>
        <w:rPr>
          <w:rFonts w:ascii="Roboto" w:hAnsi="Roboto"/>
          <w:b/>
          <w:color w:val="0B1A34"/>
          <w:sz w:val="28"/>
          <w:lang w:eastAsia="en-GB"/>
        </w:rPr>
      </w:pPr>
    </w:p>
    <w:p w14:paraId="2083385E" w14:textId="77777777" w:rsidR="0064015B" w:rsidRPr="00965E1D" w:rsidRDefault="0064015B" w:rsidP="0064015B">
      <w:pPr>
        <w:pStyle w:val="Heading2"/>
        <w:rPr>
          <w:rFonts w:ascii="Roboto" w:hAnsi="Roboto"/>
        </w:rPr>
      </w:pPr>
      <w:r w:rsidRPr="00965E1D">
        <w:rPr>
          <w:rFonts w:ascii="Roboto" w:hAnsi="Roboto"/>
        </w:rPr>
        <w:t>Declaration</w:t>
      </w:r>
    </w:p>
    <w:p w14:paraId="651629B7" w14:textId="77777777" w:rsidR="0064015B" w:rsidRPr="00965E1D" w:rsidRDefault="0064015B" w:rsidP="0064015B">
      <w:pPr>
        <w:rPr>
          <w:rFonts w:ascii="Roboto" w:hAnsi="Roboto"/>
          <w:lang w:eastAsia="en-GB"/>
        </w:rPr>
      </w:pPr>
    </w:p>
    <w:p w14:paraId="1E4B3AD5" w14:textId="77777777" w:rsidR="0064015B" w:rsidRPr="00965E1D" w:rsidRDefault="0064015B" w:rsidP="0064015B">
      <w:pPr>
        <w:rPr>
          <w:rFonts w:ascii="Roboto" w:hAnsi="Roboto"/>
        </w:rPr>
      </w:pPr>
      <w:r w:rsidRPr="00965E1D">
        <w:rPr>
          <w:rFonts w:ascii="Roboto" w:hAnsi="Roboto"/>
        </w:rPr>
        <w:t xml:space="preserve">This notification or application must be submitted by a person of appropriate seniority within the notifying or applying counterparty, for example an executive director, company secretary, or head of compliance. </w:t>
      </w:r>
    </w:p>
    <w:p w14:paraId="471CBFB1" w14:textId="77777777" w:rsidR="0064015B" w:rsidRPr="00965E1D" w:rsidRDefault="0064015B" w:rsidP="0064015B">
      <w:pPr>
        <w:rPr>
          <w:rFonts w:ascii="Roboto" w:hAnsi="Roboto"/>
        </w:rPr>
      </w:pPr>
    </w:p>
    <w:p w14:paraId="34F2B9A0" w14:textId="77777777" w:rsidR="0064015B" w:rsidRPr="00965E1D" w:rsidRDefault="0064015B" w:rsidP="0064015B">
      <w:pPr>
        <w:rPr>
          <w:rFonts w:ascii="Roboto" w:hAnsi="Roboto"/>
        </w:rPr>
      </w:pPr>
      <w:r w:rsidRPr="00965E1D">
        <w:rPr>
          <w:rFonts w:ascii="Roboto" w:hAnsi="Roboto"/>
        </w:rPr>
        <w:t xml:space="preserve">If the applicant counterparty and the intragroup counterparty are located in the same member state and this notification is being made on behalf of both counterparties using this notification, the person submitting this notification must be duly authorised to make this notification on behalf of all notifying counterparties within this notification. </w:t>
      </w:r>
    </w:p>
    <w:p w14:paraId="5EC7FE2C" w14:textId="77777777" w:rsidR="0064015B" w:rsidRPr="00965E1D" w:rsidRDefault="0064015B" w:rsidP="0064015B">
      <w:pPr>
        <w:rPr>
          <w:rFonts w:ascii="Roboto" w:hAnsi="Roboto"/>
        </w:rPr>
      </w:pPr>
    </w:p>
    <w:p w14:paraId="396ED007" w14:textId="77777777" w:rsidR="0064015B" w:rsidRPr="00965E1D" w:rsidRDefault="0064015B" w:rsidP="0064015B">
      <w:pPr>
        <w:rPr>
          <w:rFonts w:ascii="Roboto" w:hAnsi="Roboto"/>
        </w:rPr>
      </w:pPr>
      <w:r w:rsidRPr="00965E1D">
        <w:rPr>
          <w:rFonts w:ascii="Roboto" w:hAnsi="Roboto"/>
        </w:rPr>
        <w:t xml:space="preserve">By submitting this notification or application I confirm that: </w:t>
      </w:r>
    </w:p>
    <w:p w14:paraId="6B2F618D" w14:textId="77777777" w:rsidR="0064015B" w:rsidRPr="00965E1D" w:rsidRDefault="0064015B" w:rsidP="0064015B">
      <w:pPr>
        <w:pStyle w:val="ListParagraph"/>
        <w:numPr>
          <w:ilvl w:val="1"/>
          <w:numId w:val="19"/>
        </w:numPr>
        <w:rPr>
          <w:rFonts w:ascii="Roboto" w:hAnsi="Roboto"/>
        </w:rPr>
      </w:pPr>
      <w:r w:rsidRPr="00965E1D">
        <w:rPr>
          <w:rFonts w:ascii="Roboto" w:hAnsi="Roboto"/>
        </w:rPr>
        <w:t>The information in this notification or application is accurate and complete to the best of my knowledge and belief and that I have taken all reasonable steps to ensure that this is the case;</w:t>
      </w:r>
    </w:p>
    <w:p w14:paraId="13BE433B" w14:textId="77777777" w:rsidR="0064015B" w:rsidRPr="00965E1D" w:rsidRDefault="0064015B" w:rsidP="0064015B">
      <w:pPr>
        <w:pStyle w:val="ListParagraph"/>
        <w:numPr>
          <w:ilvl w:val="1"/>
          <w:numId w:val="19"/>
        </w:numPr>
        <w:rPr>
          <w:rFonts w:ascii="Roboto" w:hAnsi="Roboto"/>
        </w:rPr>
      </w:pPr>
      <w:r w:rsidRPr="00965E1D">
        <w:rPr>
          <w:rFonts w:ascii="Roboto" w:hAnsi="Roboto"/>
        </w:rPr>
        <w:t xml:space="preserve">I am aware that if I knowingly or recklessly provide information that is false and misleading in a material particular in this notification or </w:t>
      </w:r>
      <w:proofErr w:type="gramStart"/>
      <w:r w:rsidRPr="00965E1D">
        <w:rPr>
          <w:rFonts w:ascii="Roboto" w:hAnsi="Roboto"/>
        </w:rPr>
        <w:t>application</w:t>
      </w:r>
      <w:proofErr w:type="gramEnd"/>
      <w:r w:rsidRPr="00965E1D">
        <w:rPr>
          <w:rFonts w:ascii="Roboto" w:hAnsi="Roboto"/>
        </w:rPr>
        <w:t xml:space="preserve"> I will contravene a legislative requirement and may be the subject of enforcement action;</w:t>
      </w:r>
    </w:p>
    <w:p w14:paraId="0525DC38" w14:textId="4F026765" w:rsidR="0064015B" w:rsidRPr="00965E1D" w:rsidRDefault="0064015B" w:rsidP="0064015B">
      <w:pPr>
        <w:pStyle w:val="ListParagraph"/>
        <w:numPr>
          <w:ilvl w:val="1"/>
          <w:numId w:val="19"/>
        </w:numPr>
        <w:rPr>
          <w:rFonts w:ascii="Roboto" w:hAnsi="Roboto"/>
        </w:rPr>
      </w:pPr>
      <w:r w:rsidRPr="00965E1D">
        <w:rPr>
          <w:rFonts w:ascii="Roboto" w:hAnsi="Roboto"/>
        </w:rPr>
        <w:t>If the applicant counterparty and the intragroup counterparty are located in the same member state and this notification is being made on behalf of both counterparties in this notification, the intragroup counterparty in this notification has consented to the notification being made on their behalf and is aware of their responsibilities and obligations under EU Regulation 648/2012</w:t>
      </w:r>
      <w:r w:rsidR="00616D0A">
        <w:rPr>
          <w:rFonts w:ascii="Roboto" w:hAnsi="Roboto"/>
        </w:rPr>
        <w:t xml:space="preserve"> as amended</w:t>
      </w:r>
      <w:r w:rsidRPr="00965E1D">
        <w:rPr>
          <w:rFonts w:ascii="Roboto" w:hAnsi="Roboto"/>
        </w:rPr>
        <w:t xml:space="preserve">, the EMIR Regulation. As such supporting evidence and records which demonstrate the consent of all counterparties to the notification, and </w:t>
      </w:r>
      <w:r w:rsidRPr="00965E1D">
        <w:rPr>
          <w:rFonts w:ascii="Roboto" w:hAnsi="Roboto"/>
        </w:rPr>
        <w:lastRenderedPageBreak/>
        <w:t>that they are aware of their responsibilities and obligations under the EMIR Regulation, are available on request; and</w:t>
      </w:r>
    </w:p>
    <w:p w14:paraId="187E0326" w14:textId="295E1F1A" w:rsidR="0064015B" w:rsidRPr="00965E1D" w:rsidRDefault="0064015B" w:rsidP="0064015B">
      <w:pPr>
        <w:pStyle w:val="ListParagraph"/>
        <w:numPr>
          <w:ilvl w:val="1"/>
          <w:numId w:val="19"/>
        </w:numPr>
        <w:rPr>
          <w:rFonts w:ascii="Roboto" w:hAnsi="Roboto"/>
        </w:rPr>
      </w:pPr>
      <w:r w:rsidRPr="00965E1D">
        <w:rPr>
          <w:rFonts w:ascii="Roboto" w:hAnsi="Roboto"/>
        </w:rPr>
        <w:t xml:space="preserve">I will notify the relevant competent authority immediately if there is a significant change to the information provided in this form. </w:t>
      </w:r>
    </w:p>
    <w:p w14:paraId="354B8220" w14:textId="0BC7D43D" w:rsidR="00207F24" w:rsidRDefault="00207F24" w:rsidP="0064015B">
      <w:pPr>
        <w:rPr>
          <w:rFonts w:ascii="Roboto" w:hAnsi="Roboto"/>
          <w:b/>
          <w:sz w:val="24"/>
          <w:szCs w:val="22"/>
        </w:rPr>
      </w:pPr>
    </w:p>
    <w:p w14:paraId="313F700C" w14:textId="3F3915ED" w:rsidR="009438F5" w:rsidRDefault="00780D8A" w:rsidP="0064015B">
      <w:pPr>
        <w:rPr>
          <w:rFonts w:ascii="Roboto" w:hAnsi="Roboto"/>
          <w:b/>
          <w:sz w:val="24"/>
          <w:szCs w:val="22"/>
        </w:rPr>
      </w:pPr>
      <w:r>
        <w:rPr>
          <w:rFonts w:ascii="Roboto" w:hAnsi="Roboto"/>
          <w:b/>
          <w:sz w:val="24"/>
          <w:szCs w:val="22"/>
        </w:rPr>
        <w:t>Confirmation</w:t>
      </w:r>
    </w:p>
    <w:p w14:paraId="57D142E1" w14:textId="459C1711" w:rsidR="009438F5" w:rsidRDefault="00780D8A" w:rsidP="00780D8A">
      <w:pPr>
        <w:pStyle w:val="ListParagraph"/>
        <w:numPr>
          <w:ilvl w:val="0"/>
          <w:numId w:val="49"/>
        </w:numPr>
        <w:rPr>
          <w:rFonts w:ascii="Roboto" w:hAnsi="Roboto"/>
          <w:bCs/>
          <w:sz w:val="24"/>
          <w:szCs w:val="22"/>
        </w:rPr>
      </w:pPr>
      <w:r w:rsidRPr="00780D8A">
        <w:rPr>
          <w:rFonts w:ascii="Roboto" w:hAnsi="Roboto"/>
          <w:bCs/>
          <w:sz w:val="24"/>
          <w:szCs w:val="22"/>
        </w:rPr>
        <w:t>I confirm that I have read and understood this declaration:</w:t>
      </w:r>
      <w:r w:rsidR="00ED1019">
        <w:rPr>
          <w:rFonts w:ascii="Roboto" w:hAnsi="Roboto"/>
          <w:bCs/>
          <w:sz w:val="24"/>
          <w:szCs w:val="22"/>
        </w:rPr>
        <w:t xml:space="preserve"> </w:t>
      </w:r>
      <w:sdt>
        <w:sdtPr>
          <w:rPr>
            <w:rFonts w:ascii="Roboto" w:hAnsi="Roboto"/>
            <w:bCs/>
            <w:sz w:val="24"/>
            <w:szCs w:val="22"/>
          </w:rPr>
          <w:id w:val="-1098246434"/>
          <w14:checkbox>
            <w14:checked w14:val="0"/>
            <w14:checkedState w14:val="2612" w14:font="MS Gothic"/>
            <w14:uncheckedState w14:val="2610" w14:font="MS Gothic"/>
          </w14:checkbox>
        </w:sdtPr>
        <w:sdtEndPr/>
        <w:sdtContent>
          <w:r w:rsidR="00ED1019">
            <w:rPr>
              <w:rFonts w:ascii="MS Gothic" w:eastAsia="MS Gothic" w:hAnsi="MS Gothic" w:hint="eastAsia"/>
              <w:bCs/>
              <w:sz w:val="24"/>
              <w:szCs w:val="22"/>
            </w:rPr>
            <w:t>☐</w:t>
          </w:r>
        </w:sdtContent>
      </w:sdt>
    </w:p>
    <w:p w14:paraId="73B206DB" w14:textId="13E2D304" w:rsidR="00780D8A" w:rsidRDefault="00780D8A" w:rsidP="00780D8A">
      <w:pPr>
        <w:pStyle w:val="ListParagraph"/>
        <w:numPr>
          <w:ilvl w:val="0"/>
          <w:numId w:val="49"/>
        </w:numPr>
        <w:rPr>
          <w:rFonts w:ascii="Roboto" w:hAnsi="Roboto"/>
          <w:bCs/>
          <w:sz w:val="24"/>
          <w:szCs w:val="22"/>
        </w:rPr>
      </w:pPr>
      <w:r w:rsidRPr="00780D8A">
        <w:rPr>
          <w:rFonts w:ascii="Roboto" w:hAnsi="Roboto"/>
          <w:bCs/>
          <w:sz w:val="24"/>
          <w:szCs w:val="22"/>
        </w:rPr>
        <w:t>Name and surname:</w:t>
      </w:r>
      <w:r w:rsidR="00ED1019">
        <w:rPr>
          <w:rFonts w:ascii="Roboto" w:hAnsi="Roboto"/>
          <w:bCs/>
          <w:sz w:val="24"/>
          <w:szCs w:val="22"/>
        </w:rPr>
        <w:t xml:space="preserve"> </w:t>
      </w:r>
      <w:sdt>
        <w:sdtPr>
          <w:rPr>
            <w:rFonts w:ascii="Roboto" w:hAnsi="Roboto"/>
            <w:bCs/>
            <w:sz w:val="24"/>
            <w:szCs w:val="22"/>
          </w:rPr>
          <w:id w:val="-1643104476"/>
          <w:placeholder>
            <w:docPart w:val="DefaultPlaceholder_-1854013440"/>
          </w:placeholder>
          <w:showingPlcHdr/>
          <w:text/>
        </w:sdtPr>
        <w:sdtEndPr/>
        <w:sdtContent>
          <w:r w:rsidR="00ED1019" w:rsidRPr="009645F3">
            <w:rPr>
              <w:rStyle w:val="PlaceholderText"/>
              <w:lang w:eastAsia="en-GB"/>
            </w:rPr>
            <w:t>Click or tap here to enter text.</w:t>
          </w:r>
        </w:sdtContent>
      </w:sdt>
    </w:p>
    <w:p w14:paraId="1833E231" w14:textId="072AC4E5" w:rsidR="00780D8A" w:rsidRDefault="00780D8A" w:rsidP="00780D8A">
      <w:pPr>
        <w:pStyle w:val="ListParagraph"/>
        <w:numPr>
          <w:ilvl w:val="0"/>
          <w:numId w:val="49"/>
        </w:numPr>
        <w:rPr>
          <w:rFonts w:ascii="Roboto" w:hAnsi="Roboto"/>
          <w:bCs/>
          <w:sz w:val="24"/>
          <w:szCs w:val="22"/>
        </w:rPr>
      </w:pPr>
      <w:r w:rsidRPr="00780D8A">
        <w:rPr>
          <w:rFonts w:ascii="Roboto" w:hAnsi="Roboto"/>
          <w:bCs/>
          <w:sz w:val="24"/>
          <w:szCs w:val="22"/>
        </w:rPr>
        <w:t>Position:</w:t>
      </w:r>
      <w:sdt>
        <w:sdtPr>
          <w:rPr>
            <w:rFonts w:ascii="Roboto" w:hAnsi="Roboto"/>
            <w:bCs/>
            <w:sz w:val="24"/>
            <w:szCs w:val="22"/>
          </w:rPr>
          <w:id w:val="1085571040"/>
          <w:placeholder>
            <w:docPart w:val="DefaultPlaceholder_-1854013440"/>
          </w:placeholder>
          <w:showingPlcHdr/>
          <w:text/>
        </w:sdtPr>
        <w:sdtEndPr/>
        <w:sdtContent>
          <w:r w:rsidR="00ED1019" w:rsidRPr="009645F3">
            <w:rPr>
              <w:rStyle w:val="PlaceholderText"/>
              <w:lang w:eastAsia="en-GB"/>
            </w:rPr>
            <w:t>Click or tap here to enter text.</w:t>
          </w:r>
        </w:sdtContent>
      </w:sdt>
    </w:p>
    <w:p w14:paraId="3D64751D" w14:textId="103E753B" w:rsidR="00780D8A" w:rsidRDefault="00780D8A" w:rsidP="00965E1D">
      <w:pPr>
        <w:pStyle w:val="ListParagraph"/>
        <w:numPr>
          <w:ilvl w:val="0"/>
          <w:numId w:val="49"/>
        </w:numPr>
        <w:spacing w:before="1440"/>
        <w:ind w:left="714" w:hanging="357"/>
        <w:contextualSpacing w:val="0"/>
        <w:rPr>
          <w:rFonts w:ascii="Roboto" w:hAnsi="Roboto"/>
          <w:bCs/>
          <w:sz w:val="24"/>
          <w:szCs w:val="22"/>
        </w:rPr>
      </w:pPr>
      <w:r w:rsidRPr="00780D8A">
        <w:rPr>
          <w:rFonts w:ascii="Roboto" w:hAnsi="Roboto"/>
          <w:bCs/>
          <w:sz w:val="24"/>
          <w:szCs w:val="22"/>
        </w:rPr>
        <w:t>Signature:</w:t>
      </w:r>
      <w:r w:rsidR="00ED1019">
        <w:rPr>
          <w:rFonts w:ascii="Roboto" w:hAnsi="Roboto"/>
          <w:bCs/>
          <w:sz w:val="24"/>
          <w:szCs w:val="22"/>
        </w:rPr>
        <w:t xml:space="preserve"> ______________________________________</w:t>
      </w:r>
    </w:p>
    <w:p w14:paraId="2DC888D5" w14:textId="7F135372" w:rsidR="00780D8A" w:rsidRPr="00965E1D" w:rsidRDefault="00780D8A" w:rsidP="00965E1D">
      <w:pPr>
        <w:pStyle w:val="ListParagraph"/>
        <w:numPr>
          <w:ilvl w:val="0"/>
          <w:numId w:val="49"/>
        </w:numPr>
        <w:rPr>
          <w:rFonts w:ascii="Roboto" w:hAnsi="Roboto"/>
          <w:bCs/>
          <w:sz w:val="24"/>
          <w:szCs w:val="22"/>
        </w:rPr>
      </w:pPr>
      <w:r w:rsidRPr="00780D8A">
        <w:rPr>
          <w:rFonts w:ascii="Roboto" w:hAnsi="Roboto"/>
          <w:bCs/>
          <w:sz w:val="24"/>
          <w:szCs w:val="22"/>
        </w:rPr>
        <w:t>Date:</w:t>
      </w:r>
      <w:sdt>
        <w:sdtPr>
          <w:rPr>
            <w:rFonts w:ascii="Roboto" w:hAnsi="Roboto"/>
            <w:bCs/>
            <w:sz w:val="24"/>
            <w:szCs w:val="22"/>
          </w:rPr>
          <w:id w:val="-562098734"/>
          <w:placeholder>
            <w:docPart w:val="DefaultPlaceholder_-1854013437"/>
          </w:placeholder>
          <w:showingPlcHdr/>
          <w:date>
            <w:dateFormat w:val="dd/MM/yyyy"/>
            <w:lid w:val="en-MT"/>
            <w:storeMappedDataAs w:val="dateTime"/>
            <w:calendar w:val="gregorian"/>
          </w:date>
        </w:sdtPr>
        <w:sdtEndPr/>
        <w:sdtContent>
          <w:r w:rsidR="00ED1019" w:rsidRPr="009645F3">
            <w:rPr>
              <w:rStyle w:val="PlaceholderText"/>
              <w:lang w:eastAsia="en-GB"/>
            </w:rPr>
            <w:t>Click or tap to enter a date.</w:t>
          </w:r>
        </w:sdtContent>
      </w:sdt>
    </w:p>
    <w:p w14:paraId="5564629F" w14:textId="773F5BD1" w:rsidR="009438F5" w:rsidRDefault="009438F5" w:rsidP="0064015B">
      <w:pPr>
        <w:rPr>
          <w:rFonts w:ascii="Roboto" w:hAnsi="Roboto"/>
          <w:b/>
          <w:sz w:val="24"/>
          <w:szCs w:val="22"/>
        </w:rPr>
      </w:pPr>
    </w:p>
    <w:p w14:paraId="0F424764" w14:textId="21B07FF4" w:rsidR="000F4D21" w:rsidRPr="004E0E1B" w:rsidRDefault="000F4D21" w:rsidP="000F4D21">
      <w:pPr>
        <w:rPr>
          <w:rFonts w:ascii="Roboto" w:hAnsi="Roboto"/>
          <w:i/>
          <w:iCs/>
        </w:rPr>
      </w:pPr>
    </w:p>
    <w:sectPr w:rsidR="000F4D21" w:rsidRPr="004E0E1B" w:rsidSect="009B39FE">
      <w:headerReference w:type="default" r:id="rId11"/>
      <w:footerReference w:type="default" r:id="rId1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872AB" w14:textId="77777777" w:rsidR="00081679" w:rsidRDefault="00081679" w:rsidP="001A3F35">
      <w:r>
        <w:separator/>
      </w:r>
    </w:p>
  </w:endnote>
  <w:endnote w:type="continuationSeparator" w:id="0">
    <w:p w14:paraId="6D2BCBDB" w14:textId="77777777" w:rsidR="00081679" w:rsidRDefault="00081679" w:rsidP="001A3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Myriad Pro">
    <w:altName w:val="Segoe UI"/>
    <w:panose1 w:val="00000000000000000000"/>
    <w:charset w:val="00"/>
    <w:family w:val="swiss"/>
    <w:notTrueType/>
    <w:pitch w:val="variable"/>
    <w:sig w:usb0="A00002AF" w:usb1="5000204B" w:usb2="00000000" w:usb3="00000000" w:csb0="0000009F" w:csb1="00000000"/>
  </w:font>
  <w:font w:name="Poppins Light">
    <w:altName w:val="Poppins Light"/>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6F35" w14:textId="77777777" w:rsidR="00453A3A" w:rsidRPr="007D15ED" w:rsidRDefault="00453A3A" w:rsidP="007D15ED">
    <w:pPr>
      <w:pStyle w:val="Footer"/>
      <w:jc w:val="center"/>
      <w:rPr>
        <w:rFonts w:ascii="Roboto" w:hAnsi="Roboto"/>
      </w:rPr>
    </w:pPr>
    <w:r w:rsidRPr="007D15ED">
      <w:rPr>
        <w:rFonts w:ascii="Roboto" w:hAnsi="Roboto"/>
      </w:rPr>
      <w:t xml:space="preserve">Page </w:t>
    </w:r>
    <w:r w:rsidRPr="007D15ED">
      <w:rPr>
        <w:rFonts w:ascii="Roboto" w:hAnsi="Roboto"/>
      </w:rPr>
      <w:fldChar w:fldCharType="begin"/>
    </w:r>
    <w:r w:rsidRPr="007D15ED">
      <w:rPr>
        <w:rFonts w:ascii="Roboto" w:hAnsi="Roboto"/>
      </w:rPr>
      <w:instrText xml:space="preserve"> PAGE </w:instrText>
    </w:r>
    <w:r w:rsidRPr="007D15ED">
      <w:rPr>
        <w:rFonts w:ascii="Roboto" w:hAnsi="Roboto"/>
      </w:rPr>
      <w:fldChar w:fldCharType="separate"/>
    </w:r>
    <w:r w:rsidR="000C3C27" w:rsidRPr="007D15ED">
      <w:rPr>
        <w:rFonts w:ascii="Roboto" w:hAnsi="Roboto"/>
        <w:noProof/>
      </w:rPr>
      <w:t>19</w:t>
    </w:r>
    <w:r w:rsidRPr="007D15ED">
      <w:rPr>
        <w:rFonts w:ascii="Roboto" w:hAnsi="Roboto"/>
      </w:rPr>
      <w:fldChar w:fldCharType="end"/>
    </w:r>
    <w:r w:rsidRPr="007D15ED">
      <w:rPr>
        <w:rFonts w:ascii="Roboto" w:hAnsi="Roboto"/>
      </w:rPr>
      <w:t xml:space="preserve"> of </w:t>
    </w:r>
    <w:r w:rsidR="005B2939" w:rsidRPr="007D15ED">
      <w:rPr>
        <w:rFonts w:ascii="Roboto" w:hAnsi="Roboto"/>
        <w:noProof/>
      </w:rPr>
      <w:fldChar w:fldCharType="begin"/>
    </w:r>
    <w:r w:rsidR="005B2939" w:rsidRPr="007D15ED">
      <w:rPr>
        <w:rFonts w:ascii="Roboto" w:hAnsi="Roboto"/>
        <w:noProof/>
      </w:rPr>
      <w:instrText xml:space="preserve"> NUMPAGES  </w:instrText>
    </w:r>
    <w:r w:rsidR="005B2939" w:rsidRPr="007D15ED">
      <w:rPr>
        <w:rFonts w:ascii="Roboto" w:hAnsi="Roboto"/>
        <w:noProof/>
      </w:rPr>
      <w:fldChar w:fldCharType="separate"/>
    </w:r>
    <w:r w:rsidR="000C3C27" w:rsidRPr="007D15ED">
      <w:rPr>
        <w:rFonts w:ascii="Roboto" w:hAnsi="Roboto"/>
        <w:noProof/>
      </w:rPr>
      <w:t>19</w:t>
    </w:r>
    <w:r w:rsidR="005B2939" w:rsidRPr="007D15ED">
      <w:rPr>
        <w:rFonts w:ascii="Roboto" w:hAnsi="Roboto"/>
        <w:noProof/>
      </w:rPr>
      <w:fldChar w:fldCharType="end"/>
    </w:r>
  </w:p>
  <w:p w14:paraId="57DA425B" w14:textId="77777777" w:rsidR="00453A3A" w:rsidRDefault="00453A3A" w:rsidP="001A3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B42AB" w14:textId="77777777" w:rsidR="00081679" w:rsidRDefault="00081679" w:rsidP="001A3F35">
      <w:r>
        <w:separator/>
      </w:r>
    </w:p>
  </w:footnote>
  <w:footnote w:type="continuationSeparator" w:id="0">
    <w:p w14:paraId="5B8389C0" w14:textId="77777777" w:rsidR="00081679" w:rsidRDefault="00081679" w:rsidP="001A3F35">
      <w:r>
        <w:continuationSeparator/>
      </w:r>
    </w:p>
  </w:footnote>
  <w:footnote w:id="1">
    <w:p w14:paraId="51A0C4F7" w14:textId="1704D9E2" w:rsidR="0060280F" w:rsidRDefault="0060280F">
      <w:pPr>
        <w:pStyle w:val="FootnoteText"/>
      </w:pPr>
      <w:r>
        <w:rPr>
          <w:rStyle w:val="FootnoteReference"/>
        </w:rPr>
        <w:footnoteRef/>
      </w:r>
      <w:r>
        <w:t xml:space="preserve"> New section 4 under Article 3 as amended by Regulation (EU) 2024/2987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1EB7" w14:textId="757E5FAF" w:rsidR="00453A3A" w:rsidRDefault="00453A3A" w:rsidP="00893FCB">
    <w:pPr>
      <w:pStyle w:val="Header"/>
      <w:jc w:val="center"/>
    </w:pPr>
  </w:p>
  <w:p w14:paraId="224B04D7" w14:textId="77777777" w:rsidR="00893FCB" w:rsidRPr="00A46B84" w:rsidRDefault="00893FCB" w:rsidP="00893FCB">
    <w:pPr>
      <w:pStyle w:val="Header"/>
      <w:jc w:val="center"/>
    </w:pPr>
  </w:p>
  <w:p w14:paraId="46C45561" w14:textId="77777777" w:rsidR="00453A3A" w:rsidRDefault="00453A3A" w:rsidP="004362D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0AB"/>
    <w:multiLevelType w:val="hybridMultilevel"/>
    <w:tmpl w:val="8E642BB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F69DF"/>
    <w:multiLevelType w:val="hybridMultilevel"/>
    <w:tmpl w:val="CC8CC5C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9668F"/>
    <w:multiLevelType w:val="hybridMultilevel"/>
    <w:tmpl w:val="B69E4C10"/>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A4688"/>
    <w:multiLevelType w:val="hybridMultilevel"/>
    <w:tmpl w:val="C57223C6"/>
    <w:lvl w:ilvl="0" w:tplc="B84E175E">
      <w:start w:val="7"/>
      <w:numFmt w:val="bullet"/>
      <w:lvlText w:val="•"/>
      <w:lvlJc w:val="left"/>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70B02"/>
    <w:multiLevelType w:val="hybridMultilevel"/>
    <w:tmpl w:val="E0943EE4"/>
    <w:lvl w:ilvl="0" w:tplc="D50CD8F6">
      <w:numFmt w:val="bullet"/>
      <w:lvlText w:val="-"/>
      <w:lvlJc w:val="left"/>
      <w:pPr>
        <w:ind w:left="720" w:hanging="360"/>
      </w:pPr>
      <w:rPr>
        <w:rFonts w:ascii="Roboto" w:eastAsia="Calibri" w:hAnsi="Roboto"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34ADB"/>
    <w:multiLevelType w:val="hybridMultilevel"/>
    <w:tmpl w:val="35AEC0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B528F5"/>
    <w:multiLevelType w:val="hybridMultilevel"/>
    <w:tmpl w:val="35F6A2CA"/>
    <w:lvl w:ilvl="0" w:tplc="200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82696C"/>
    <w:multiLevelType w:val="hybridMultilevel"/>
    <w:tmpl w:val="6562F0C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2127949"/>
    <w:multiLevelType w:val="hybridMultilevel"/>
    <w:tmpl w:val="7E1C67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A8273F"/>
    <w:multiLevelType w:val="hybridMultilevel"/>
    <w:tmpl w:val="CBC00FDC"/>
    <w:lvl w:ilvl="0" w:tplc="888AC074">
      <w:start w:val="7"/>
      <w:numFmt w:val="bullet"/>
      <w:lvlText w:val="•"/>
      <w:lvlJc w:val="left"/>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AC0964"/>
    <w:multiLevelType w:val="hybridMultilevel"/>
    <w:tmpl w:val="07EAF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AA569F"/>
    <w:multiLevelType w:val="hybridMultilevel"/>
    <w:tmpl w:val="EE2E22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46C9A"/>
    <w:multiLevelType w:val="hybridMultilevel"/>
    <w:tmpl w:val="36E09FD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FC64AD"/>
    <w:multiLevelType w:val="hybridMultilevel"/>
    <w:tmpl w:val="31A8698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061B78"/>
    <w:multiLevelType w:val="hybridMultilevel"/>
    <w:tmpl w:val="EE723DF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65961DA"/>
    <w:multiLevelType w:val="hybridMultilevel"/>
    <w:tmpl w:val="57B89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985440"/>
    <w:multiLevelType w:val="hybridMultilevel"/>
    <w:tmpl w:val="00865E3A"/>
    <w:lvl w:ilvl="0" w:tplc="346A33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58704B"/>
    <w:multiLevelType w:val="hybridMultilevel"/>
    <w:tmpl w:val="71F2D80C"/>
    <w:lvl w:ilvl="0" w:tplc="B84E175E">
      <w:start w:val="7"/>
      <w:numFmt w:val="bullet"/>
      <w:lvlText w:val="•"/>
      <w:lvlJc w:val="left"/>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036806"/>
    <w:multiLevelType w:val="hybridMultilevel"/>
    <w:tmpl w:val="103623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670034"/>
    <w:multiLevelType w:val="hybridMultilevel"/>
    <w:tmpl w:val="0D46A5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53102C"/>
    <w:multiLevelType w:val="hybridMultilevel"/>
    <w:tmpl w:val="41EC72A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3276EE"/>
    <w:multiLevelType w:val="hybridMultilevel"/>
    <w:tmpl w:val="30220A04"/>
    <w:lvl w:ilvl="0" w:tplc="0809001B">
      <w:start w:val="1"/>
      <w:numFmt w:val="lowerRoman"/>
      <w:lvlText w:val="%1."/>
      <w:lvlJc w:val="right"/>
      <w:pPr>
        <w:ind w:left="1440" w:hanging="360"/>
      </w:pPr>
    </w:lvl>
    <w:lvl w:ilvl="1" w:tplc="7F8A5B5A">
      <w:start w:val="1"/>
      <w:numFmt w:val="lowerRoman"/>
      <w:lvlText w:val="(%2)"/>
      <w:lvlJc w:val="left"/>
      <w:pPr>
        <w:ind w:left="2520" w:hanging="72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A6275AF"/>
    <w:multiLevelType w:val="hybridMultilevel"/>
    <w:tmpl w:val="32D09F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8C610D"/>
    <w:multiLevelType w:val="hybridMultilevel"/>
    <w:tmpl w:val="1526CE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63C8A"/>
    <w:multiLevelType w:val="hybridMultilevel"/>
    <w:tmpl w:val="95766B7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056188"/>
    <w:multiLevelType w:val="hybridMultilevel"/>
    <w:tmpl w:val="51DE0348"/>
    <w:lvl w:ilvl="0" w:tplc="6D6AF6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627098"/>
    <w:multiLevelType w:val="hybridMultilevel"/>
    <w:tmpl w:val="B12C71D2"/>
    <w:lvl w:ilvl="0" w:tplc="414A01CE">
      <w:start w:val="2"/>
      <w:numFmt w:val="bullet"/>
      <w:lvlText w:val="-"/>
      <w:lvlJc w:val="left"/>
      <w:pPr>
        <w:ind w:left="720" w:hanging="360"/>
      </w:pPr>
      <w:rPr>
        <w:rFonts w:ascii="Roboto" w:eastAsia="Calibri" w:hAnsi="Roboto"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067FB8"/>
    <w:multiLevelType w:val="hybridMultilevel"/>
    <w:tmpl w:val="1090EB4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0061CD"/>
    <w:multiLevelType w:val="hybridMultilevel"/>
    <w:tmpl w:val="8F5C4C18"/>
    <w:lvl w:ilvl="0" w:tplc="C8D676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1167E1"/>
    <w:multiLevelType w:val="hybridMultilevel"/>
    <w:tmpl w:val="D46A8D34"/>
    <w:lvl w:ilvl="0" w:tplc="414A01CE">
      <w:start w:val="2"/>
      <w:numFmt w:val="bullet"/>
      <w:lvlText w:val="-"/>
      <w:lvlJc w:val="left"/>
      <w:pPr>
        <w:ind w:left="720" w:hanging="360"/>
      </w:pPr>
      <w:rPr>
        <w:rFonts w:ascii="Roboto" w:eastAsia="Calibri" w:hAnsi="Roboto"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9004AA"/>
    <w:multiLevelType w:val="hybridMultilevel"/>
    <w:tmpl w:val="D82EDB38"/>
    <w:lvl w:ilvl="0" w:tplc="F898A636">
      <w:start w:val="7"/>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9370E4"/>
    <w:multiLevelType w:val="hybridMultilevel"/>
    <w:tmpl w:val="77A6901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EB39EC"/>
    <w:multiLevelType w:val="multilevel"/>
    <w:tmpl w:val="8632C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09248D"/>
    <w:multiLevelType w:val="hybridMultilevel"/>
    <w:tmpl w:val="FC3E7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426CD9"/>
    <w:multiLevelType w:val="hybridMultilevel"/>
    <w:tmpl w:val="210A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7F600A"/>
    <w:multiLevelType w:val="hybridMultilevel"/>
    <w:tmpl w:val="693C9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3638FD"/>
    <w:multiLevelType w:val="hybridMultilevel"/>
    <w:tmpl w:val="0FEE692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53B4494"/>
    <w:multiLevelType w:val="hybridMultilevel"/>
    <w:tmpl w:val="6D6C67E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68DA464F"/>
    <w:multiLevelType w:val="hybridMultilevel"/>
    <w:tmpl w:val="EA64B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703FF8"/>
    <w:multiLevelType w:val="hybridMultilevel"/>
    <w:tmpl w:val="51A80F4A"/>
    <w:lvl w:ilvl="0" w:tplc="2494A32C">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BB00C43"/>
    <w:multiLevelType w:val="hybridMultilevel"/>
    <w:tmpl w:val="28325FB0"/>
    <w:lvl w:ilvl="0" w:tplc="888AC074">
      <w:start w:val="7"/>
      <w:numFmt w:val="bullet"/>
      <w:lvlText w:val="•"/>
      <w:lvlJc w:val="left"/>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A165F8"/>
    <w:multiLevelType w:val="hybridMultilevel"/>
    <w:tmpl w:val="AB741218"/>
    <w:lvl w:ilvl="0" w:tplc="99A4C8DE">
      <w:start w:val="7"/>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A373CA"/>
    <w:multiLevelType w:val="hybridMultilevel"/>
    <w:tmpl w:val="A4804CA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1DF4CCA"/>
    <w:multiLevelType w:val="hybridMultilevel"/>
    <w:tmpl w:val="A8403882"/>
    <w:lvl w:ilvl="0" w:tplc="0809001B">
      <w:start w:val="1"/>
      <w:numFmt w:val="lowerRoman"/>
      <w:lvlText w:val="%1."/>
      <w:lvlJc w:val="right"/>
      <w:pPr>
        <w:ind w:left="720" w:hanging="360"/>
      </w:pPr>
    </w:lvl>
    <w:lvl w:ilvl="1" w:tplc="998061AC">
      <w:start w:val="1"/>
      <w:numFmt w:val="lowerLetter"/>
      <w:lvlText w:val="(%2)"/>
      <w:lvlJc w:val="left"/>
      <w:pPr>
        <w:ind w:left="1440" w:hanging="360"/>
      </w:pPr>
      <w:rPr>
        <w:rFonts w:hint="default"/>
      </w:rPr>
    </w:lvl>
    <w:lvl w:ilvl="2" w:tplc="210405E4">
      <w:start w:val="2"/>
      <w:numFmt w:val="bullet"/>
      <w:lvlText w:val="-"/>
      <w:lvlJc w:val="left"/>
      <w:pPr>
        <w:ind w:left="2340" w:hanging="360"/>
      </w:pPr>
      <w:rPr>
        <w:rFonts w:ascii="Roboto" w:eastAsia="Calibri" w:hAnsi="Roboto" w:cs="Calibri Light"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E97F61"/>
    <w:multiLevelType w:val="hybridMultilevel"/>
    <w:tmpl w:val="0FDCE74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B8216B"/>
    <w:multiLevelType w:val="hybridMultilevel"/>
    <w:tmpl w:val="BE926EAA"/>
    <w:lvl w:ilvl="0" w:tplc="A2980F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391BC3"/>
    <w:multiLevelType w:val="hybridMultilevel"/>
    <w:tmpl w:val="66625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E11429"/>
    <w:multiLevelType w:val="hybridMultilevel"/>
    <w:tmpl w:val="D108D1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EEB4E0A"/>
    <w:multiLevelType w:val="hybridMultilevel"/>
    <w:tmpl w:val="394A283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5586382">
    <w:abstractNumId w:val="38"/>
  </w:num>
  <w:num w:numId="2" w16cid:durableId="1186015511">
    <w:abstractNumId w:val="25"/>
  </w:num>
  <w:num w:numId="3" w16cid:durableId="212886079">
    <w:abstractNumId w:val="15"/>
  </w:num>
  <w:num w:numId="4" w16cid:durableId="1475947704">
    <w:abstractNumId w:val="3"/>
  </w:num>
  <w:num w:numId="5" w16cid:durableId="521171044">
    <w:abstractNumId w:val="9"/>
  </w:num>
  <w:num w:numId="6" w16cid:durableId="1795706649">
    <w:abstractNumId w:val="40"/>
  </w:num>
  <w:num w:numId="7" w16cid:durableId="896354279">
    <w:abstractNumId w:val="17"/>
  </w:num>
  <w:num w:numId="8" w16cid:durableId="2033914156">
    <w:abstractNumId w:val="41"/>
  </w:num>
  <w:num w:numId="9" w16cid:durableId="707685300">
    <w:abstractNumId w:val="30"/>
  </w:num>
  <w:num w:numId="10" w16cid:durableId="1703824882">
    <w:abstractNumId w:val="21"/>
  </w:num>
  <w:num w:numId="11" w16cid:durableId="241526899">
    <w:abstractNumId w:val="28"/>
  </w:num>
  <w:num w:numId="12" w16cid:durableId="630596981">
    <w:abstractNumId w:val="18"/>
  </w:num>
  <w:num w:numId="13" w16cid:durableId="790245579">
    <w:abstractNumId w:val="5"/>
  </w:num>
  <w:num w:numId="14" w16cid:durableId="2053459400">
    <w:abstractNumId w:val="45"/>
  </w:num>
  <w:num w:numId="15" w16cid:durableId="1269779851">
    <w:abstractNumId w:val="27"/>
  </w:num>
  <w:num w:numId="16" w16cid:durableId="1666931229">
    <w:abstractNumId w:val="12"/>
  </w:num>
  <w:num w:numId="17" w16cid:durableId="1956129938">
    <w:abstractNumId w:val="24"/>
  </w:num>
  <w:num w:numId="18" w16cid:durableId="2146966489">
    <w:abstractNumId w:val="11"/>
  </w:num>
  <w:num w:numId="19" w16cid:durableId="669336835">
    <w:abstractNumId w:val="43"/>
  </w:num>
  <w:num w:numId="20" w16cid:durableId="292322864">
    <w:abstractNumId w:val="37"/>
  </w:num>
  <w:num w:numId="21" w16cid:durableId="1117798752">
    <w:abstractNumId w:val="19"/>
  </w:num>
  <w:num w:numId="22" w16cid:durableId="458109852">
    <w:abstractNumId w:val="14"/>
  </w:num>
  <w:num w:numId="23" w16cid:durableId="2062974447">
    <w:abstractNumId w:val="13"/>
  </w:num>
  <w:num w:numId="24" w16cid:durableId="1522553161">
    <w:abstractNumId w:val="1"/>
  </w:num>
  <w:num w:numId="25" w16cid:durableId="1937008844">
    <w:abstractNumId w:val="36"/>
  </w:num>
  <w:num w:numId="26" w16cid:durableId="110321933">
    <w:abstractNumId w:val="42"/>
  </w:num>
  <w:num w:numId="27" w16cid:durableId="1340617623">
    <w:abstractNumId w:val="20"/>
  </w:num>
  <w:num w:numId="28" w16cid:durableId="120420679">
    <w:abstractNumId w:val="31"/>
  </w:num>
  <w:num w:numId="29" w16cid:durableId="344334039">
    <w:abstractNumId w:val="7"/>
  </w:num>
  <w:num w:numId="30" w16cid:durableId="834800506">
    <w:abstractNumId w:val="16"/>
  </w:num>
  <w:num w:numId="31" w16cid:durableId="1159033438">
    <w:abstractNumId w:val="0"/>
  </w:num>
  <w:num w:numId="32" w16cid:durableId="879167002">
    <w:abstractNumId w:val="8"/>
  </w:num>
  <w:num w:numId="33" w16cid:durableId="1344087970">
    <w:abstractNumId w:val="22"/>
  </w:num>
  <w:num w:numId="34" w16cid:durableId="1184394726">
    <w:abstractNumId w:val="44"/>
  </w:num>
  <w:num w:numId="35" w16cid:durableId="1540701682">
    <w:abstractNumId w:val="23"/>
  </w:num>
  <w:num w:numId="36" w16cid:durableId="594284048">
    <w:abstractNumId w:val="48"/>
  </w:num>
  <w:num w:numId="37" w16cid:durableId="1221285332">
    <w:abstractNumId w:val="46"/>
  </w:num>
  <w:num w:numId="38" w16cid:durableId="1396465202">
    <w:abstractNumId w:val="4"/>
  </w:num>
  <w:num w:numId="39" w16cid:durableId="768627362">
    <w:abstractNumId w:val="47"/>
  </w:num>
  <w:num w:numId="40" w16cid:durableId="138304140">
    <w:abstractNumId w:val="2"/>
  </w:num>
  <w:num w:numId="41" w16cid:durableId="1832527270">
    <w:abstractNumId w:val="39"/>
  </w:num>
  <w:num w:numId="42" w16cid:durableId="98331286">
    <w:abstractNumId w:val="35"/>
  </w:num>
  <w:num w:numId="43" w16cid:durableId="1400901029">
    <w:abstractNumId w:val="26"/>
  </w:num>
  <w:num w:numId="44" w16cid:durableId="1686320456">
    <w:abstractNumId w:val="29"/>
  </w:num>
  <w:num w:numId="45" w16cid:durableId="158078470">
    <w:abstractNumId w:val="10"/>
  </w:num>
  <w:num w:numId="46" w16cid:durableId="813638276">
    <w:abstractNumId w:val="33"/>
  </w:num>
  <w:num w:numId="47" w16cid:durableId="1766725496">
    <w:abstractNumId w:val="32"/>
  </w:num>
  <w:num w:numId="48" w16cid:durableId="131337163">
    <w:abstractNumId w:val="6"/>
  </w:num>
  <w:num w:numId="49" w16cid:durableId="18622079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enforcement="1" w:cryptProviderType="rsaAES" w:cryptAlgorithmClass="hash" w:cryptAlgorithmType="typeAny" w:cryptAlgorithmSid="14" w:cryptSpinCount="100000" w:hash="po9KWGThmuyqM25fiW+D/J87Cs10ivQ8r0k9aRtE2Lc9iZcgwC5ooRENE6m1PA9KTmzro6PWb1oEKhv0lpJxlg==" w:salt="N6q2NsahRd5YLVUCfUt2n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3A"/>
    <w:rsid w:val="0001284B"/>
    <w:rsid w:val="00034FF5"/>
    <w:rsid w:val="00065B78"/>
    <w:rsid w:val="00081679"/>
    <w:rsid w:val="000C3C27"/>
    <w:rsid w:val="000D777A"/>
    <w:rsid w:val="000F4D21"/>
    <w:rsid w:val="00134D80"/>
    <w:rsid w:val="001A3F35"/>
    <w:rsid w:val="001C15FA"/>
    <w:rsid w:val="001C400F"/>
    <w:rsid w:val="00207F24"/>
    <w:rsid w:val="00232B04"/>
    <w:rsid w:val="00234C03"/>
    <w:rsid w:val="00247A17"/>
    <w:rsid w:val="002571D3"/>
    <w:rsid w:val="00273385"/>
    <w:rsid w:val="00284EE8"/>
    <w:rsid w:val="002B16FC"/>
    <w:rsid w:val="003104C2"/>
    <w:rsid w:val="00352C1A"/>
    <w:rsid w:val="0036610C"/>
    <w:rsid w:val="00381191"/>
    <w:rsid w:val="0040257C"/>
    <w:rsid w:val="00405940"/>
    <w:rsid w:val="004362DF"/>
    <w:rsid w:val="00453A3A"/>
    <w:rsid w:val="00455565"/>
    <w:rsid w:val="00475FBD"/>
    <w:rsid w:val="004B5DAA"/>
    <w:rsid w:val="004C48A6"/>
    <w:rsid w:val="004E0E1B"/>
    <w:rsid w:val="004E3FB4"/>
    <w:rsid w:val="005215BD"/>
    <w:rsid w:val="00536A50"/>
    <w:rsid w:val="005560EC"/>
    <w:rsid w:val="005B2939"/>
    <w:rsid w:val="005C276D"/>
    <w:rsid w:val="005F45B2"/>
    <w:rsid w:val="0060280F"/>
    <w:rsid w:val="00616D0A"/>
    <w:rsid w:val="006204F8"/>
    <w:rsid w:val="0064015B"/>
    <w:rsid w:val="00681AF3"/>
    <w:rsid w:val="006D3409"/>
    <w:rsid w:val="00703025"/>
    <w:rsid w:val="00710E48"/>
    <w:rsid w:val="00780373"/>
    <w:rsid w:val="00780D8A"/>
    <w:rsid w:val="007D15ED"/>
    <w:rsid w:val="007D536B"/>
    <w:rsid w:val="007E61FF"/>
    <w:rsid w:val="00817B4B"/>
    <w:rsid w:val="0084709D"/>
    <w:rsid w:val="00862A8F"/>
    <w:rsid w:val="00893FCB"/>
    <w:rsid w:val="0093328A"/>
    <w:rsid w:val="009438F5"/>
    <w:rsid w:val="00950EE6"/>
    <w:rsid w:val="00965E1D"/>
    <w:rsid w:val="009718C1"/>
    <w:rsid w:val="009825C1"/>
    <w:rsid w:val="00996439"/>
    <w:rsid w:val="009A20D1"/>
    <w:rsid w:val="009B39FE"/>
    <w:rsid w:val="009D00DF"/>
    <w:rsid w:val="00A301E7"/>
    <w:rsid w:val="00A30AD9"/>
    <w:rsid w:val="00A46B84"/>
    <w:rsid w:val="00AE1EF1"/>
    <w:rsid w:val="00B13832"/>
    <w:rsid w:val="00B4165A"/>
    <w:rsid w:val="00B76F40"/>
    <w:rsid w:val="00BF5B55"/>
    <w:rsid w:val="00BF71A7"/>
    <w:rsid w:val="00C025DD"/>
    <w:rsid w:val="00C11B76"/>
    <w:rsid w:val="00C45877"/>
    <w:rsid w:val="00C96723"/>
    <w:rsid w:val="00CA4850"/>
    <w:rsid w:val="00CA7902"/>
    <w:rsid w:val="00D13F4E"/>
    <w:rsid w:val="00D557D9"/>
    <w:rsid w:val="00D63A4F"/>
    <w:rsid w:val="00D9423F"/>
    <w:rsid w:val="00D952C8"/>
    <w:rsid w:val="00DA0427"/>
    <w:rsid w:val="00DA1A25"/>
    <w:rsid w:val="00DF1A26"/>
    <w:rsid w:val="00DF4E0D"/>
    <w:rsid w:val="00E224A3"/>
    <w:rsid w:val="00E7494A"/>
    <w:rsid w:val="00ED1019"/>
    <w:rsid w:val="00F40BEE"/>
    <w:rsid w:val="00F82A51"/>
    <w:rsid w:val="00F9029E"/>
    <w:rsid w:val="00FC2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BAD24"/>
  <w15:chartTrackingRefBased/>
  <w15:docId w15:val="{BF38BE0D-2BBB-4A84-B622-8724D912D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09D"/>
    <w:pPr>
      <w:spacing w:line="360" w:lineRule="auto"/>
      <w:jc w:val="both"/>
    </w:pPr>
    <w:rPr>
      <w:rFonts w:ascii="Myriad Pro Light" w:hAnsi="Myriad Pro Light" w:cs="Calibri Light"/>
      <w:sz w:val="22"/>
      <w:szCs w:val="24"/>
      <w:lang w:eastAsia="en-US"/>
    </w:rPr>
  </w:style>
  <w:style w:type="paragraph" w:styleId="Heading1">
    <w:name w:val="heading 1"/>
    <w:basedOn w:val="Normal"/>
    <w:next w:val="Normal"/>
    <w:link w:val="Heading1Char"/>
    <w:uiPriority w:val="9"/>
    <w:qFormat/>
    <w:rsid w:val="001A3F35"/>
    <w:pPr>
      <w:outlineLvl w:val="0"/>
    </w:pPr>
    <w:rPr>
      <w:rFonts w:ascii="Myriad Pro" w:hAnsi="Myriad Pro" w:cs="Poppins Light"/>
      <w:b/>
      <w:noProof/>
      <w:color w:val="0B1A34"/>
      <w:sz w:val="52"/>
      <w:szCs w:val="52"/>
      <w:lang w:eastAsia="en-GB"/>
    </w:rPr>
  </w:style>
  <w:style w:type="paragraph" w:styleId="Heading2">
    <w:name w:val="heading 2"/>
    <w:basedOn w:val="Normal"/>
    <w:next w:val="Normal"/>
    <w:link w:val="Heading2Char"/>
    <w:uiPriority w:val="9"/>
    <w:unhideWhenUsed/>
    <w:qFormat/>
    <w:rsid w:val="0064015B"/>
    <w:pPr>
      <w:outlineLvl w:val="1"/>
    </w:pPr>
    <w:rPr>
      <w:b/>
      <w:color w:val="0B1A34"/>
      <w:sz w:val="28"/>
      <w:lang w:eastAsia="en-GB"/>
    </w:rPr>
  </w:style>
  <w:style w:type="paragraph" w:styleId="Heading3">
    <w:name w:val="heading 3"/>
    <w:basedOn w:val="Normal"/>
    <w:next w:val="Normal"/>
    <w:link w:val="Heading3Char"/>
    <w:uiPriority w:val="9"/>
    <w:unhideWhenUsed/>
    <w:qFormat/>
    <w:rsid w:val="001C400F"/>
    <w:pPr>
      <w:keepNext/>
      <w:keepLines/>
      <w:spacing w:before="40"/>
      <w:outlineLvl w:val="2"/>
    </w:pPr>
    <w:rPr>
      <w:rFonts w:ascii="Calibri Light" w:eastAsia="Times New Roman" w:hAnsi="Calibri Light" w:cs="Times New Roman"/>
      <w:color w:val="1F376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A3A"/>
    <w:pPr>
      <w:ind w:left="720"/>
      <w:contextualSpacing/>
    </w:pPr>
  </w:style>
  <w:style w:type="paragraph" w:styleId="Header">
    <w:name w:val="header"/>
    <w:basedOn w:val="Normal"/>
    <w:link w:val="HeaderChar"/>
    <w:uiPriority w:val="99"/>
    <w:unhideWhenUsed/>
    <w:rsid w:val="00453A3A"/>
    <w:pPr>
      <w:tabs>
        <w:tab w:val="center" w:pos="4513"/>
        <w:tab w:val="right" w:pos="9026"/>
      </w:tabs>
      <w:spacing w:line="240" w:lineRule="auto"/>
    </w:pPr>
  </w:style>
  <w:style w:type="character" w:customStyle="1" w:styleId="HeaderChar">
    <w:name w:val="Header Char"/>
    <w:basedOn w:val="DefaultParagraphFont"/>
    <w:link w:val="Header"/>
    <w:uiPriority w:val="99"/>
    <w:rsid w:val="00453A3A"/>
  </w:style>
  <w:style w:type="paragraph" w:styleId="Footer">
    <w:name w:val="footer"/>
    <w:basedOn w:val="Normal"/>
    <w:link w:val="FooterChar"/>
    <w:uiPriority w:val="99"/>
    <w:unhideWhenUsed/>
    <w:rsid w:val="00453A3A"/>
    <w:pPr>
      <w:tabs>
        <w:tab w:val="center" w:pos="4513"/>
        <w:tab w:val="right" w:pos="9026"/>
      </w:tabs>
      <w:spacing w:line="240" w:lineRule="auto"/>
    </w:pPr>
  </w:style>
  <w:style w:type="character" w:customStyle="1" w:styleId="FooterChar">
    <w:name w:val="Footer Char"/>
    <w:basedOn w:val="DefaultParagraphFont"/>
    <w:link w:val="Footer"/>
    <w:uiPriority w:val="99"/>
    <w:rsid w:val="00453A3A"/>
  </w:style>
  <w:style w:type="character" w:styleId="Strong">
    <w:name w:val="Strong"/>
    <w:uiPriority w:val="22"/>
    <w:qFormat/>
    <w:rsid w:val="00D9423F"/>
    <w:rPr>
      <w:b/>
      <w:bCs/>
    </w:rPr>
  </w:style>
  <w:style w:type="character" w:customStyle="1" w:styleId="Classification">
    <w:name w:val="Classification"/>
    <w:uiPriority w:val="1"/>
    <w:rsid w:val="00D9423F"/>
    <w:rPr>
      <w:rFonts w:ascii="Calibri" w:hAnsi="Calibri"/>
      <w:b/>
      <w:caps w:val="0"/>
      <w:smallCaps/>
      <w:color w:val="580000"/>
      <w:spacing w:val="20"/>
      <w:sz w:val="24"/>
      <w:bdr w:val="none" w:sz="0" w:space="0" w:color="auto"/>
      <w:shd w:val="clear" w:color="auto" w:fill="auto"/>
    </w:rPr>
  </w:style>
  <w:style w:type="character" w:customStyle="1" w:styleId="Heading1Char">
    <w:name w:val="Heading 1 Char"/>
    <w:link w:val="Heading1"/>
    <w:uiPriority w:val="9"/>
    <w:rsid w:val="001A3F35"/>
    <w:rPr>
      <w:rFonts w:ascii="Myriad Pro" w:hAnsi="Myriad Pro" w:cs="Poppins Light"/>
      <w:b/>
      <w:noProof/>
      <w:color w:val="0B1A34"/>
      <w:sz w:val="52"/>
      <w:szCs w:val="52"/>
      <w:lang w:eastAsia="en-GB"/>
    </w:rPr>
  </w:style>
  <w:style w:type="character" w:customStyle="1" w:styleId="Heading2Char">
    <w:name w:val="Heading 2 Char"/>
    <w:link w:val="Heading2"/>
    <w:uiPriority w:val="9"/>
    <w:rsid w:val="0064015B"/>
    <w:rPr>
      <w:rFonts w:ascii="Myriad Pro Light" w:hAnsi="Myriad Pro Light" w:cs="Calibri Light"/>
      <w:b/>
      <w:color w:val="0B1A34"/>
      <w:sz w:val="28"/>
      <w:szCs w:val="24"/>
      <w:lang w:eastAsia="en-GB"/>
    </w:rPr>
  </w:style>
  <w:style w:type="table" w:styleId="TableGrid">
    <w:name w:val="Table Grid"/>
    <w:basedOn w:val="TableNormal"/>
    <w:uiPriority w:val="39"/>
    <w:rsid w:val="00D63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4015B"/>
    <w:rPr>
      <w:color w:val="0000FF"/>
      <w:u w:val="single"/>
    </w:rPr>
  </w:style>
  <w:style w:type="paragraph" w:styleId="BalloonText">
    <w:name w:val="Balloon Text"/>
    <w:basedOn w:val="Normal"/>
    <w:link w:val="BalloonTextChar"/>
    <w:uiPriority w:val="99"/>
    <w:semiHidden/>
    <w:unhideWhenUsed/>
    <w:rsid w:val="009825C1"/>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9825C1"/>
    <w:rPr>
      <w:rFonts w:ascii="Segoe UI" w:hAnsi="Segoe UI" w:cs="Segoe UI"/>
      <w:sz w:val="18"/>
      <w:szCs w:val="18"/>
    </w:rPr>
  </w:style>
  <w:style w:type="character" w:customStyle="1" w:styleId="Heading3Char">
    <w:name w:val="Heading 3 Char"/>
    <w:link w:val="Heading3"/>
    <w:uiPriority w:val="9"/>
    <w:rsid w:val="001C400F"/>
    <w:rPr>
      <w:rFonts w:ascii="Calibri Light" w:eastAsia="Times New Roman" w:hAnsi="Calibri Light" w:cs="Times New Roman"/>
      <w:color w:val="1F3763"/>
      <w:sz w:val="24"/>
      <w:szCs w:val="24"/>
    </w:rPr>
  </w:style>
  <w:style w:type="character" w:styleId="PlaceholderText">
    <w:name w:val="Placeholder Text"/>
    <w:uiPriority w:val="99"/>
    <w:semiHidden/>
    <w:rsid w:val="00405940"/>
    <w:rPr>
      <w:color w:val="808080"/>
    </w:rPr>
  </w:style>
  <w:style w:type="character" w:styleId="UnresolvedMention">
    <w:name w:val="Unresolved Mention"/>
    <w:basedOn w:val="DefaultParagraphFont"/>
    <w:uiPriority w:val="99"/>
    <w:semiHidden/>
    <w:unhideWhenUsed/>
    <w:rsid w:val="002B16FC"/>
    <w:rPr>
      <w:color w:val="605E5C"/>
      <w:shd w:val="clear" w:color="auto" w:fill="E1DFDD"/>
    </w:rPr>
  </w:style>
  <w:style w:type="character" w:styleId="CommentReference">
    <w:name w:val="annotation reference"/>
    <w:basedOn w:val="DefaultParagraphFont"/>
    <w:uiPriority w:val="99"/>
    <w:semiHidden/>
    <w:unhideWhenUsed/>
    <w:rsid w:val="004C48A6"/>
    <w:rPr>
      <w:sz w:val="16"/>
      <w:szCs w:val="16"/>
    </w:rPr>
  </w:style>
  <w:style w:type="paragraph" w:styleId="CommentText">
    <w:name w:val="annotation text"/>
    <w:basedOn w:val="Normal"/>
    <w:link w:val="CommentTextChar"/>
    <w:uiPriority w:val="99"/>
    <w:unhideWhenUsed/>
    <w:rsid w:val="004C48A6"/>
    <w:rPr>
      <w:sz w:val="20"/>
      <w:szCs w:val="20"/>
    </w:rPr>
  </w:style>
  <w:style w:type="character" w:customStyle="1" w:styleId="CommentTextChar">
    <w:name w:val="Comment Text Char"/>
    <w:basedOn w:val="DefaultParagraphFont"/>
    <w:link w:val="CommentText"/>
    <w:uiPriority w:val="99"/>
    <w:rsid w:val="004C48A6"/>
    <w:rPr>
      <w:rFonts w:ascii="Myriad Pro Light" w:hAnsi="Myriad Pro Light" w:cs="Calibri Light"/>
      <w:lang w:eastAsia="en-US"/>
    </w:rPr>
  </w:style>
  <w:style w:type="paragraph" w:styleId="CommentSubject">
    <w:name w:val="annotation subject"/>
    <w:basedOn w:val="CommentText"/>
    <w:next w:val="CommentText"/>
    <w:link w:val="CommentSubjectChar"/>
    <w:uiPriority w:val="99"/>
    <w:semiHidden/>
    <w:unhideWhenUsed/>
    <w:rsid w:val="004C48A6"/>
    <w:rPr>
      <w:b/>
      <w:bCs/>
    </w:rPr>
  </w:style>
  <w:style w:type="character" w:customStyle="1" w:styleId="CommentSubjectChar">
    <w:name w:val="Comment Subject Char"/>
    <w:basedOn w:val="CommentTextChar"/>
    <w:link w:val="CommentSubject"/>
    <w:uiPriority w:val="99"/>
    <w:semiHidden/>
    <w:rsid w:val="004C48A6"/>
    <w:rPr>
      <w:rFonts w:ascii="Myriad Pro Light" w:hAnsi="Myriad Pro Light" w:cs="Calibri Light"/>
      <w:b/>
      <w:bCs/>
      <w:lang w:eastAsia="en-US"/>
    </w:rPr>
  </w:style>
  <w:style w:type="paragraph" w:styleId="Revision">
    <w:name w:val="Revision"/>
    <w:hidden/>
    <w:uiPriority w:val="99"/>
    <w:semiHidden/>
    <w:rsid w:val="00247A17"/>
    <w:rPr>
      <w:rFonts w:ascii="Myriad Pro Light" w:hAnsi="Myriad Pro Light" w:cs="Calibri Light"/>
      <w:sz w:val="22"/>
      <w:szCs w:val="24"/>
      <w:lang w:eastAsia="en-US"/>
    </w:rPr>
  </w:style>
  <w:style w:type="paragraph" w:styleId="FootnoteText">
    <w:name w:val="footnote text"/>
    <w:basedOn w:val="Normal"/>
    <w:link w:val="FootnoteTextChar"/>
    <w:uiPriority w:val="99"/>
    <w:semiHidden/>
    <w:unhideWhenUsed/>
    <w:rsid w:val="0060280F"/>
    <w:pPr>
      <w:spacing w:line="240" w:lineRule="auto"/>
    </w:pPr>
    <w:rPr>
      <w:sz w:val="20"/>
      <w:szCs w:val="20"/>
    </w:rPr>
  </w:style>
  <w:style w:type="character" w:customStyle="1" w:styleId="FootnoteTextChar">
    <w:name w:val="Footnote Text Char"/>
    <w:basedOn w:val="DefaultParagraphFont"/>
    <w:link w:val="FootnoteText"/>
    <w:uiPriority w:val="99"/>
    <w:semiHidden/>
    <w:rsid w:val="0060280F"/>
    <w:rPr>
      <w:rFonts w:ascii="Myriad Pro Light" w:hAnsi="Myriad Pro Light" w:cs="Calibri Light"/>
      <w:lang w:eastAsia="en-US"/>
    </w:rPr>
  </w:style>
  <w:style w:type="character" w:styleId="FootnoteReference">
    <w:name w:val="footnote reference"/>
    <w:basedOn w:val="DefaultParagraphFont"/>
    <w:uiPriority w:val="99"/>
    <w:semiHidden/>
    <w:unhideWhenUsed/>
    <w:rsid w:val="006028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79870">
      <w:bodyDiv w:val="1"/>
      <w:marLeft w:val="0"/>
      <w:marRight w:val="0"/>
      <w:marTop w:val="0"/>
      <w:marBottom w:val="0"/>
      <w:divBdr>
        <w:top w:val="none" w:sz="0" w:space="0" w:color="auto"/>
        <w:left w:val="none" w:sz="0" w:space="0" w:color="auto"/>
        <w:bottom w:val="none" w:sz="0" w:space="0" w:color="auto"/>
        <w:right w:val="none" w:sz="0" w:space="0" w:color="auto"/>
      </w:divBdr>
    </w:div>
    <w:div w:id="34280444">
      <w:bodyDiv w:val="1"/>
      <w:marLeft w:val="0"/>
      <w:marRight w:val="0"/>
      <w:marTop w:val="0"/>
      <w:marBottom w:val="0"/>
      <w:divBdr>
        <w:top w:val="none" w:sz="0" w:space="0" w:color="auto"/>
        <w:left w:val="none" w:sz="0" w:space="0" w:color="auto"/>
        <w:bottom w:val="none" w:sz="0" w:space="0" w:color="auto"/>
        <w:right w:val="none" w:sz="0" w:space="0" w:color="auto"/>
      </w:divBdr>
    </w:div>
    <w:div w:id="49426072">
      <w:bodyDiv w:val="1"/>
      <w:marLeft w:val="0"/>
      <w:marRight w:val="0"/>
      <w:marTop w:val="0"/>
      <w:marBottom w:val="0"/>
      <w:divBdr>
        <w:top w:val="none" w:sz="0" w:space="0" w:color="auto"/>
        <w:left w:val="none" w:sz="0" w:space="0" w:color="auto"/>
        <w:bottom w:val="none" w:sz="0" w:space="0" w:color="auto"/>
        <w:right w:val="none" w:sz="0" w:space="0" w:color="auto"/>
      </w:divBdr>
    </w:div>
    <w:div w:id="77598262">
      <w:bodyDiv w:val="1"/>
      <w:marLeft w:val="0"/>
      <w:marRight w:val="0"/>
      <w:marTop w:val="0"/>
      <w:marBottom w:val="0"/>
      <w:divBdr>
        <w:top w:val="none" w:sz="0" w:space="0" w:color="auto"/>
        <w:left w:val="none" w:sz="0" w:space="0" w:color="auto"/>
        <w:bottom w:val="none" w:sz="0" w:space="0" w:color="auto"/>
        <w:right w:val="none" w:sz="0" w:space="0" w:color="auto"/>
      </w:divBdr>
    </w:div>
    <w:div w:id="88817914">
      <w:bodyDiv w:val="1"/>
      <w:marLeft w:val="0"/>
      <w:marRight w:val="0"/>
      <w:marTop w:val="0"/>
      <w:marBottom w:val="0"/>
      <w:divBdr>
        <w:top w:val="none" w:sz="0" w:space="0" w:color="auto"/>
        <w:left w:val="none" w:sz="0" w:space="0" w:color="auto"/>
        <w:bottom w:val="none" w:sz="0" w:space="0" w:color="auto"/>
        <w:right w:val="none" w:sz="0" w:space="0" w:color="auto"/>
      </w:divBdr>
    </w:div>
    <w:div w:id="111293448">
      <w:bodyDiv w:val="1"/>
      <w:marLeft w:val="0"/>
      <w:marRight w:val="0"/>
      <w:marTop w:val="0"/>
      <w:marBottom w:val="0"/>
      <w:divBdr>
        <w:top w:val="none" w:sz="0" w:space="0" w:color="auto"/>
        <w:left w:val="none" w:sz="0" w:space="0" w:color="auto"/>
        <w:bottom w:val="none" w:sz="0" w:space="0" w:color="auto"/>
        <w:right w:val="none" w:sz="0" w:space="0" w:color="auto"/>
      </w:divBdr>
    </w:div>
    <w:div w:id="141965659">
      <w:bodyDiv w:val="1"/>
      <w:marLeft w:val="0"/>
      <w:marRight w:val="0"/>
      <w:marTop w:val="0"/>
      <w:marBottom w:val="0"/>
      <w:divBdr>
        <w:top w:val="none" w:sz="0" w:space="0" w:color="auto"/>
        <w:left w:val="none" w:sz="0" w:space="0" w:color="auto"/>
        <w:bottom w:val="none" w:sz="0" w:space="0" w:color="auto"/>
        <w:right w:val="none" w:sz="0" w:space="0" w:color="auto"/>
      </w:divBdr>
    </w:div>
    <w:div w:id="178784852">
      <w:bodyDiv w:val="1"/>
      <w:marLeft w:val="0"/>
      <w:marRight w:val="0"/>
      <w:marTop w:val="0"/>
      <w:marBottom w:val="0"/>
      <w:divBdr>
        <w:top w:val="none" w:sz="0" w:space="0" w:color="auto"/>
        <w:left w:val="none" w:sz="0" w:space="0" w:color="auto"/>
        <w:bottom w:val="none" w:sz="0" w:space="0" w:color="auto"/>
        <w:right w:val="none" w:sz="0" w:space="0" w:color="auto"/>
      </w:divBdr>
    </w:div>
    <w:div w:id="227308274">
      <w:bodyDiv w:val="1"/>
      <w:marLeft w:val="0"/>
      <w:marRight w:val="0"/>
      <w:marTop w:val="0"/>
      <w:marBottom w:val="0"/>
      <w:divBdr>
        <w:top w:val="none" w:sz="0" w:space="0" w:color="auto"/>
        <w:left w:val="none" w:sz="0" w:space="0" w:color="auto"/>
        <w:bottom w:val="none" w:sz="0" w:space="0" w:color="auto"/>
        <w:right w:val="none" w:sz="0" w:space="0" w:color="auto"/>
      </w:divBdr>
    </w:div>
    <w:div w:id="241376867">
      <w:bodyDiv w:val="1"/>
      <w:marLeft w:val="0"/>
      <w:marRight w:val="0"/>
      <w:marTop w:val="0"/>
      <w:marBottom w:val="0"/>
      <w:divBdr>
        <w:top w:val="none" w:sz="0" w:space="0" w:color="auto"/>
        <w:left w:val="none" w:sz="0" w:space="0" w:color="auto"/>
        <w:bottom w:val="none" w:sz="0" w:space="0" w:color="auto"/>
        <w:right w:val="none" w:sz="0" w:space="0" w:color="auto"/>
      </w:divBdr>
    </w:div>
    <w:div w:id="293799116">
      <w:bodyDiv w:val="1"/>
      <w:marLeft w:val="0"/>
      <w:marRight w:val="0"/>
      <w:marTop w:val="0"/>
      <w:marBottom w:val="0"/>
      <w:divBdr>
        <w:top w:val="none" w:sz="0" w:space="0" w:color="auto"/>
        <w:left w:val="none" w:sz="0" w:space="0" w:color="auto"/>
        <w:bottom w:val="none" w:sz="0" w:space="0" w:color="auto"/>
        <w:right w:val="none" w:sz="0" w:space="0" w:color="auto"/>
      </w:divBdr>
    </w:div>
    <w:div w:id="319311919">
      <w:bodyDiv w:val="1"/>
      <w:marLeft w:val="0"/>
      <w:marRight w:val="0"/>
      <w:marTop w:val="0"/>
      <w:marBottom w:val="0"/>
      <w:divBdr>
        <w:top w:val="none" w:sz="0" w:space="0" w:color="auto"/>
        <w:left w:val="none" w:sz="0" w:space="0" w:color="auto"/>
        <w:bottom w:val="none" w:sz="0" w:space="0" w:color="auto"/>
        <w:right w:val="none" w:sz="0" w:space="0" w:color="auto"/>
      </w:divBdr>
    </w:div>
    <w:div w:id="321811903">
      <w:bodyDiv w:val="1"/>
      <w:marLeft w:val="0"/>
      <w:marRight w:val="0"/>
      <w:marTop w:val="0"/>
      <w:marBottom w:val="0"/>
      <w:divBdr>
        <w:top w:val="none" w:sz="0" w:space="0" w:color="auto"/>
        <w:left w:val="none" w:sz="0" w:space="0" w:color="auto"/>
        <w:bottom w:val="none" w:sz="0" w:space="0" w:color="auto"/>
        <w:right w:val="none" w:sz="0" w:space="0" w:color="auto"/>
      </w:divBdr>
    </w:div>
    <w:div w:id="337974414">
      <w:bodyDiv w:val="1"/>
      <w:marLeft w:val="0"/>
      <w:marRight w:val="0"/>
      <w:marTop w:val="0"/>
      <w:marBottom w:val="0"/>
      <w:divBdr>
        <w:top w:val="none" w:sz="0" w:space="0" w:color="auto"/>
        <w:left w:val="none" w:sz="0" w:space="0" w:color="auto"/>
        <w:bottom w:val="none" w:sz="0" w:space="0" w:color="auto"/>
        <w:right w:val="none" w:sz="0" w:space="0" w:color="auto"/>
      </w:divBdr>
    </w:div>
    <w:div w:id="390661864">
      <w:bodyDiv w:val="1"/>
      <w:marLeft w:val="0"/>
      <w:marRight w:val="0"/>
      <w:marTop w:val="0"/>
      <w:marBottom w:val="0"/>
      <w:divBdr>
        <w:top w:val="none" w:sz="0" w:space="0" w:color="auto"/>
        <w:left w:val="none" w:sz="0" w:space="0" w:color="auto"/>
        <w:bottom w:val="none" w:sz="0" w:space="0" w:color="auto"/>
        <w:right w:val="none" w:sz="0" w:space="0" w:color="auto"/>
      </w:divBdr>
    </w:div>
    <w:div w:id="392126341">
      <w:bodyDiv w:val="1"/>
      <w:marLeft w:val="0"/>
      <w:marRight w:val="0"/>
      <w:marTop w:val="0"/>
      <w:marBottom w:val="0"/>
      <w:divBdr>
        <w:top w:val="none" w:sz="0" w:space="0" w:color="auto"/>
        <w:left w:val="none" w:sz="0" w:space="0" w:color="auto"/>
        <w:bottom w:val="none" w:sz="0" w:space="0" w:color="auto"/>
        <w:right w:val="none" w:sz="0" w:space="0" w:color="auto"/>
      </w:divBdr>
    </w:div>
    <w:div w:id="401147373">
      <w:bodyDiv w:val="1"/>
      <w:marLeft w:val="0"/>
      <w:marRight w:val="0"/>
      <w:marTop w:val="0"/>
      <w:marBottom w:val="0"/>
      <w:divBdr>
        <w:top w:val="none" w:sz="0" w:space="0" w:color="auto"/>
        <w:left w:val="none" w:sz="0" w:space="0" w:color="auto"/>
        <w:bottom w:val="none" w:sz="0" w:space="0" w:color="auto"/>
        <w:right w:val="none" w:sz="0" w:space="0" w:color="auto"/>
      </w:divBdr>
    </w:div>
    <w:div w:id="436801376">
      <w:bodyDiv w:val="1"/>
      <w:marLeft w:val="0"/>
      <w:marRight w:val="0"/>
      <w:marTop w:val="0"/>
      <w:marBottom w:val="0"/>
      <w:divBdr>
        <w:top w:val="none" w:sz="0" w:space="0" w:color="auto"/>
        <w:left w:val="none" w:sz="0" w:space="0" w:color="auto"/>
        <w:bottom w:val="none" w:sz="0" w:space="0" w:color="auto"/>
        <w:right w:val="none" w:sz="0" w:space="0" w:color="auto"/>
      </w:divBdr>
    </w:div>
    <w:div w:id="482501939">
      <w:bodyDiv w:val="1"/>
      <w:marLeft w:val="0"/>
      <w:marRight w:val="0"/>
      <w:marTop w:val="0"/>
      <w:marBottom w:val="0"/>
      <w:divBdr>
        <w:top w:val="none" w:sz="0" w:space="0" w:color="auto"/>
        <w:left w:val="none" w:sz="0" w:space="0" w:color="auto"/>
        <w:bottom w:val="none" w:sz="0" w:space="0" w:color="auto"/>
        <w:right w:val="none" w:sz="0" w:space="0" w:color="auto"/>
      </w:divBdr>
    </w:div>
    <w:div w:id="485976379">
      <w:bodyDiv w:val="1"/>
      <w:marLeft w:val="0"/>
      <w:marRight w:val="0"/>
      <w:marTop w:val="0"/>
      <w:marBottom w:val="0"/>
      <w:divBdr>
        <w:top w:val="none" w:sz="0" w:space="0" w:color="auto"/>
        <w:left w:val="none" w:sz="0" w:space="0" w:color="auto"/>
        <w:bottom w:val="none" w:sz="0" w:space="0" w:color="auto"/>
        <w:right w:val="none" w:sz="0" w:space="0" w:color="auto"/>
      </w:divBdr>
    </w:div>
    <w:div w:id="513422223">
      <w:bodyDiv w:val="1"/>
      <w:marLeft w:val="0"/>
      <w:marRight w:val="0"/>
      <w:marTop w:val="0"/>
      <w:marBottom w:val="0"/>
      <w:divBdr>
        <w:top w:val="none" w:sz="0" w:space="0" w:color="auto"/>
        <w:left w:val="none" w:sz="0" w:space="0" w:color="auto"/>
        <w:bottom w:val="none" w:sz="0" w:space="0" w:color="auto"/>
        <w:right w:val="none" w:sz="0" w:space="0" w:color="auto"/>
      </w:divBdr>
    </w:div>
    <w:div w:id="613442308">
      <w:bodyDiv w:val="1"/>
      <w:marLeft w:val="0"/>
      <w:marRight w:val="0"/>
      <w:marTop w:val="0"/>
      <w:marBottom w:val="0"/>
      <w:divBdr>
        <w:top w:val="none" w:sz="0" w:space="0" w:color="auto"/>
        <w:left w:val="none" w:sz="0" w:space="0" w:color="auto"/>
        <w:bottom w:val="none" w:sz="0" w:space="0" w:color="auto"/>
        <w:right w:val="none" w:sz="0" w:space="0" w:color="auto"/>
      </w:divBdr>
    </w:div>
    <w:div w:id="683435232">
      <w:bodyDiv w:val="1"/>
      <w:marLeft w:val="0"/>
      <w:marRight w:val="0"/>
      <w:marTop w:val="0"/>
      <w:marBottom w:val="0"/>
      <w:divBdr>
        <w:top w:val="none" w:sz="0" w:space="0" w:color="auto"/>
        <w:left w:val="none" w:sz="0" w:space="0" w:color="auto"/>
        <w:bottom w:val="none" w:sz="0" w:space="0" w:color="auto"/>
        <w:right w:val="none" w:sz="0" w:space="0" w:color="auto"/>
      </w:divBdr>
    </w:div>
    <w:div w:id="687485355">
      <w:bodyDiv w:val="1"/>
      <w:marLeft w:val="0"/>
      <w:marRight w:val="0"/>
      <w:marTop w:val="0"/>
      <w:marBottom w:val="0"/>
      <w:divBdr>
        <w:top w:val="none" w:sz="0" w:space="0" w:color="auto"/>
        <w:left w:val="none" w:sz="0" w:space="0" w:color="auto"/>
        <w:bottom w:val="none" w:sz="0" w:space="0" w:color="auto"/>
        <w:right w:val="none" w:sz="0" w:space="0" w:color="auto"/>
      </w:divBdr>
    </w:div>
    <w:div w:id="702243645">
      <w:bodyDiv w:val="1"/>
      <w:marLeft w:val="0"/>
      <w:marRight w:val="0"/>
      <w:marTop w:val="0"/>
      <w:marBottom w:val="0"/>
      <w:divBdr>
        <w:top w:val="none" w:sz="0" w:space="0" w:color="auto"/>
        <w:left w:val="none" w:sz="0" w:space="0" w:color="auto"/>
        <w:bottom w:val="none" w:sz="0" w:space="0" w:color="auto"/>
        <w:right w:val="none" w:sz="0" w:space="0" w:color="auto"/>
      </w:divBdr>
    </w:div>
    <w:div w:id="740254309">
      <w:bodyDiv w:val="1"/>
      <w:marLeft w:val="0"/>
      <w:marRight w:val="0"/>
      <w:marTop w:val="0"/>
      <w:marBottom w:val="0"/>
      <w:divBdr>
        <w:top w:val="none" w:sz="0" w:space="0" w:color="auto"/>
        <w:left w:val="none" w:sz="0" w:space="0" w:color="auto"/>
        <w:bottom w:val="none" w:sz="0" w:space="0" w:color="auto"/>
        <w:right w:val="none" w:sz="0" w:space="0" w:color="auto"/>
      </w:divBdr>
    </w:div>
    <w:div w:id="805241400">
      <w:bodyDiv w:val="1"/>
      <w:marLeft w:val="0"/>
      <w:marRight w:val="0"/>
      <w:marTop w:val="0"/>
      <w:marBottom w:val="0"/>
      <w:divBdr>
        <w:top w:val="none" w:sz="0" w:space="0" w:color="auto"/>
        <w:left w:val="none" w:sz="0" w:space="0" w:color="auto"/>
        <w:bottom w:val="none" w:sz="0" w:space="0" w:color="auto"/>
        <w:right w:val="none" w:sz="0" w:space="0" w:color="auto"/>
      </w:divBdr>
    </w:div>
    <w:div w:id="850416045">
      <w:bodyDiv w:val="1"/>
      <w:marLeft w:val="0"/>
      <w:marRight w:val="0"/>
      <w:marTop w:val="0"/>
      <w:marBottom w:val="0"/>
      <w:divBdr>
        <w:top w:val="none" w:sz="0" w:space="0" w:color="auto"/>
        <w:left w:val="none" w:sz="0" w:space="0" w:color="auto"/>
        <w:bottom w:val="none" w:sz="0" w:space="0" w:color="auto"/>
        <w:right w:val="none" w:sz="0" w:space="0" w:color="auto"/>
      </w:divBdr>
    </w:div>
    <w:div w:id="867841141">
      <w:bodyDiv w:val="1"/>
      <w:marLeft w:val="0"/>
      <w:marRight w:val="0"/>
      <w:marTop w:val="0"/>
      <w:marBottom w:val="0"/>
      <w:divBdr>
        <w:top w:val="none" w:sz="0" w:space="0" w:color="auto"/>
        <w:left w:val="none" w:sz="0" w:space="0" w:color="auto"/>
        <w:bottom w:val="none" w:sz="0" w:space="0" w:color="auto"/>
        <w:right w:val="none" w:sz="0" w:space="0" w:color="auto"/>
      </w:divBdr>
    </w:div>
    <w:div w:id="881674641">
      <w:bodyDiv w:val="1"/>
      <w:marLeft w:val="0"/>
      <w:marRight w:val="0"/>
      <w:marTop w:val="0"/>
      <w:marBottom w:val="0"/>
      <w:divBdr>
        <w:top w:val="none" w:sz="0" w:space="0" w:color="auto"/>
        <w:left w:val="none" w:sz="0" w:space="0" w:color="auto"/>
        <w:bottom w:val="none" w:sz="0" w:space="0" w:color="auto"/>
        <w:right w:val="none" w:sz="0" w:space="0" w:color="auto"/>
      </w:divBdr>
    </w:div>
    <w:div w:id="883518624">
      <w:bodyDiv w:val="1"/>
      <w:marLeft w:val="0"/>
      <w:marRight w:val="0"/>
      <w:marTop w:val="0"/>
      <w:marBottom w:val="0"/>
      <w:divBdr>
        <w:top w:val="none" w:sz="0" w:space="0" w:color="auto"/>
        <w:left w:val="none" w:sz="0" w:space="0" w:color="auto"/>
        <w:bottom w:val="none" w:sz="0" w:space="0" w:color="auto"/>
        <w:right w:val="none" w:sz="0" w:space="0" w:color="auto"/>
      </w:divBdr>
    </w:div>
    <w:div w:id="921571112">
      <w:bodyDiv w:val="1"/>
      <w:marLeft w:val="0"/>
      <w:marRight w:val="0"/>
      <w:marTop w:val="0"/>
      <w:marBottom w:val="0"/>
      <w:divBdr>
        <w:top w:val="none" w:sz="0" w:space="0" w:color="auto"/>
        <w:left w:val="none" w:sz="0" w:space="0" w:color="auto"/>
        <w:bottom w:val="none" w:sz="0" w:space="0" w:color="auto"/>
        <w:right w:val="none" w:sz="0" w:space="0" w:color="auto"/>
      </w:divBdr>
    </w:div>
    <w:div w:id="927352012">
      <w:bodyDiv w:val="1"/>
      <w:marLeft w:val="0"/>
      <w:marRight w:val="0"/>
      <w:marTop w:val="0"/>
      <w:marBottom w:val="0"/>
      <w:divBdr>
        <w:top w:val="none" w:sz="0" w:space="0" w:color="auto"/>
        <w:left w:val="none" w:sz="0" w:space="0" w:color="auto"/>
        <w:bottom w:val="none" w:sz="0" w:space="0" w:color="auto"/>
        <w:right w:val="none" w:sz="0" w:space="0" w:color="auto"/>
      </w:divBdr>
    </w:div>
    <w:div w:id="973297230">
      <w:bodyDiv w:val="1"/>
      <w:marLeft w:val="0"/>
      <w:marRight w:val="0"/>
      <w:marTop w:val="0"/>
      <w:marBottom w:val="0"/>
      <w:divBdr>
        <w:top w:val="none" w:sz="0" w:space="0" w:color="auto"/>
        <w:left w:val="none" w:sz="0" w:space="0" w:color="auto"/>
        <w:bottom w:val="none" w:sz="0" w:space="0" w:color="auto"/>
        <w:right w:val="none" w:sz="0" w:space="0" w:color="auto"/>
      </w:divBdr>
    </w:div>
    <w:div w:id="1009717227">
      <w:bodyDiv w:val="1"/>
      <w:marLeft w:val="0"/>
      <w:marRight w:val="0"/>
      <w:marTop w:val="0"/>
      <w:marBottom w:val="0"/>
      <w:divBdr>
        <w:top w:val="none" w:sz="0" w:space="0" w:color="auto"/>
        <w:left w:val="none" w:sz="0" w:space="0" w:color="auto"/>
        <w:bottom w:val="none" w:sz="0" w:space="0" w:color="auto"/>
        <w:right w:val="none" w:sz="0" w:space="0" w:color="auto"/>
      </w:divBdr>
    </w:div>
    <w:div w:id="1019040920">
      <w:bodyDiv w:val="1"/>
      <w:marLeft w:val="0"/>
      <w:marRight w:val="0"/>
      <w:marTop w:val="0"/>
      <w:marBottom w:val="0"/>
      <w:divBdr>
        <w:top w:val="none" w:sz="0" w:space="0" w:color="auto"/>
        <w:left w:val="none" w:sz="0" w:space="0" w:color="auto"/>
        <w:bottom w:val="none" w:sz="0" w:space="0" w:color="auto"/>
        <w:right w:val="none" w:sz="0" w:space="0" w:color="auto"/>
      </w:divBdr>
    </w:div>
    <w:div w:id="1051802235">
      <w:bodyDiv w:val="1"/>
      <w:marLeft w:val="0"/>
      <w:marRight w:val="0"/>
      <w:marTop w:val="0"/>
      <w:marBottom w:val="0"/>
      <w:divBdr>
        <w:top w:val="none" w:sz="0" w:space="0" w:color="auto"/>
        <w:left w:val="none" w:sz="0" w:space="0" w:color="auto"/>
        <w:bottom w:val="none" w:sz="0" w:space="0" w:color="auto"/>
        <w:right w:val="none" w:sz="0" w:space="0" w:color="auto"/>
      </w:divBdr>
    </w:div>
    <w:div w:id="1072120139">
      <w:bodyDiv w:val="1"/>
      <w:marLeft w:val="0"/>
      <w:marRight w:val="0"/>
      <w:marTop w:val="0"/>
      <w:marBottom w:val="0"/>
      <w:divBdr>
        <w:top w:val="none" w:sz="0" w:space="0" w:color="auto"/>
        <w:left w:val="none" w:sz="0" w:space="0" w:color="auto"/>
        <w:bottom w:val="none" w:sz="0" w:space="0" w:color="auto"/>
        <w:right w:val="none" w:sz="0" w:space="0" w:color="auto"/>
      </w:divBdr>
    </w:div>
    <w:div w:id="1077095000">
      <w:bodyDiv w:val="1"/>
      <w:marLeft w:val="0"/>
      <w:marRight w:val="0"/>
      <w:marTop w:val="0"/>
      <w:marBottom w:val="0"/>
      <w:divBdr>
        <w:top w:val="none" w:sz="0" w:space="0" w:color="auto"/>
        <w:left w:val="none" w:sz="0" w:space="0" w:color="auto"/>
        <w:bottom w:val="none" w:sz="0" w:space="0" w:color="auto"/>
        <w:right w:val="none" w:sz="0" w:space="0" w:color="auto"/>
      </w:divBdr>
    </w:div>
    <w:div w:id="1122114776">
      <w:bodyDiv w:val="1"/>
      <w:marLeft w:val="0"/>
      <w:marRight w:val="0"/>
      <w:marTop w:val="0"/>
      <w:marBottom w:val="0"/>
      <w:divBdr>
        <w:top w:val="none" w:sz="0" w:space="0" w:color="auto"/>
        <w:left w:val="none" w:sz="0" w:space="0" w:color="auto"/>
        <w:bottom w:val="none" w:sz="0" w:space="0" w:color="auto"/>
        <w:right w:val="none" w:sz="0" w:space="0" w:color="auto"/>
      </w:divBdr>
    </w:div>
    <w:div w:id="1140464755">
      <w:bodyDiv w:val="1"/>
      <w:marLeft w:val="0"/>
      <w:marRight w:val="0"/>
      <w:marTop w:val="0"/>
      <w:marBottom w:val="0"/>
      <w:divBdr>
        <w:top w:val="none" w:sz="0" w:space="0" w:color="auto"/>
        <w:left w:val="none" w:sz="0" w:space="0" w:color="auto"/>
        <w:bottom w:val="none" w:sz="0" w:space="0" w:color="auto"/>
        <w:right w:val="none" w:sz="0" w:space="0" w:color="auto"/>
      </w:divBdr>
    </w:div>
    <w:div w:id="1182162951">
      <w:bodyDiv w:val="1"/>
      <w:marLeft w:val="0"/>
      <w:marRight w:val="0"/>
      <w:marTop w:val="0"/>
      <w:marBottom w:val="0"/>
      <w:divBdr>
        <w:top w:val="none" w:sz="0" w:space="0" w:color="auto"/>
        <w:left w:val="none" w:sz="0" w:space="0" w:color="auto"/>
        <w:bottom w:val="none" w:sz="0" w:space="0" w:color="auto"/>
        <w:right w:val="none" w:sz="0" w:space="0" w:color="auto"/>
      </w:divBdr>
    </w:div>
    <w:div w:id="1222863627">
      <w:bodyDiv w:val="1"/>
      <w:marLeft w:val="0"/>
      <w:marRight w:val="0"/>
      <w:marTop w:val="0"/>
      <w:marBottom w:val="0"/>
      <w:divBdr>
        <w:top w:val="none" w:sz="0" w:space="0" w:color="auto"/>
        <w:left w:val="none" w:sz="0" w:space="0" w:color="auto"/>
        <w:bottom w:val="none" w:sz="0" w:space="0" w:color="auto"/>
        <w:right w:val="none" w:sz="0" w:space="0" w:color="auto"/>
      </w:divBdr>
    </w:div>
    <w:div w:id="1249844173">
      <w:bodyDiv w:val="1"/>
      <w:marLeft w:val="0"/>
      <w:marRight w:val="0"/>
      <w:marTop w:val="0"/>
      <w:marBottom w:val="0"/>
      <w:divBdr>
        <w:top w:val="none" w:sz="0" w:space="0" w:color="auto"/>
        <w:left w:val="none" w:sz="0" w:space="0" w:color="auto"/>
        <w:bottom w:val="none" w:sz="0" w:space="0" w:color="auto"/>
        <w:right w:val="none" w:sz="0" w:space="0" w:color="auto"/>
      </w:divBdr>
    </w:div>
    <w:div w:id="1268853176">
      <w:bodyDiv w:val="1"/>
      <w:marLeft w:val="0"/>
      <w:marRight w:val="0"/>
      <w:marTop w:val="0"/>
      <w:marBottom w:val="0"/>
      <w:divBdr>
        <w:top w:val="none" w:sz="0" w:space="0" w:color="auto"/>
        <w:left w:val="none" w:sz="0" w:space="0" w:color="auto"/>
        <w:bottom w:val="none" w:sz="0" w:space="0" w:color="auto"/>
        <w:right w:val="none" w:sz="0" w:space="0" w:color="auto"/>
      </w:divBdr>
    </w:div>
    <w:div w:id="1298992532">
      <w:bodyDiv w:val="1"/>
      <w:marLeft w:val="0"/>
      <w:marRight w:val="0"/>
      <w:marTop w:val="0"/>
      <w:marBottom w:val="0"/>
      <w:divBdr>
        <w:top w:val="none" w:sz="0" w:space="0" w:color="auto"/>
        <w:left w:val="none" w:sz="0" w:space="0" w:color="auto"/>
        <w:bottom w:val="none" w:sz="0" w:space="0" w:color="auto"/>
        <w:right w:val="none" w:sz="0" w:space="0" w:color="auto"/>
      </w:divBdr>
    </w:div>
    <w:div w:id="1323007037">
      <w:bodyDiv w:val="1"/>
      <w:marLeft w:val="0"/>
      <w:marRight w:val="0"/>
      <w:marTop w:val="0"/>
      <w:marBottom w:val="0"/>
      <w:divBdr>
        <w:top w:val="none" w:sz="0" w:space="0" w:color="auto"/>
        <w:left w:val="none" w:sz="0" w:space="0" w:color="auto"/>
        <w:bottom w:val="none" w:sz="0" w:space="0" w:color="auto"/>
        <w:right w:val="none" w:sz="0" w:space="0" w:color="auto"/>
      </w:divBdr>
    </w:div>
    <w:div w:id="1372878410">
      <w:bodyDiv w:val="1"/>
      <w:marLeft w:val="0"/>
      <w:marRight w:val="0"/>
      <w:marTop w:val="0"/>
      <w:marBottom w:val="0"/>
      <w:divBdr>
        <w:top w:val="none" w:sz="0" w:space="0" w:color="auto"/>
        <w:left w:val="none" w:sz="0" w:space="0" w:color="auto"/>
        <w:bottom w:val="none" w:sz="0" w:space="0" w:color="auto"/>
        <w:right w:val="none" w:sz="0" w:space="0" w:color="auto"/>
      </w:divBdr>
    </w:div>
    <w:div w:id="1378313581">
      <w:bodyDiv w:val="1"/>
      <w:marLeft w:val="0"/>
      <w:marRight w:val="0"/>
      <w:marTop w:val="0"/>
      <w:marBottom w:val="0"/>
      <w:divBdr>
        <w:top w:val="none" w:sz="0" w:space="0" w:color="auto"/>
        <w:left w:val="none" w:sz="0" w:space="0" w:color="auto"/>
        <w:bottom w:val="none" w:sz="0" w:space="0" w:color="auto"/>
        <w:right w:val="none" w:sz="0" w:space="0" w:color="auto"/>
      </w:divBdr>
    </w:div>
    <w:div w:id="1378506203">
      <w:bodyDiv w:val="1"/>
      <w:marLeft w:val="0"/>
      <w:marRight w:val="0"/>
      <w:marTop w:val="0"/>
      <w:marBottom w:val="0"/>
      <w:divBdr>
        <w:top w:val="none" w:sz="0" w:space="0" w:color="auto"/>
        <w:left w:val="none" w:sz="0" w:space="0" w:color="auto"/>
        <w:bottom w:val="none" w:sz="0" w:space="0" w:color="auto"/>
        <w:right w:val="none" w:sz="0" w:space="0" w:color="auto"/>
      </w:divBdr>
    </w:div>
    <w:div w:id="1384329281">
      <w:bodyDiv w:val="1"/>
      <w:marLeft w:val="0"/>
      <w:marRight w:val="0"/>
      <w:marTop w:val="0"/>
      <w:marBottom w:val="0"/>
      <w:divBdr>
        <w:top w:val="none" w:sz="0" w:space="0" w:color="auto"/>
        <w:left w:val="none" w:sz="0" w:space="0" w:color="auto"/>
        <w:bottom w:val="none" w:sz="0" w:space="0" w:color="auto"/>
        <w:right w:val="none" w:sz="0" w:space="0" w:color="auto"/>
      </w:divBdr>
    </w:div>
    <w:div w:id="1387338086">
      <w:bodyDiv w:val="1"/>
      <w:marLeft w:val="0"/>
      <w:marRight w:val="0"/>
      <w:marTop w:val="0"/>
      <w:marBottom w:val="0"/>
      <w:divBdr>
        <w:top w:val="none" w:sz="0" w:space="0" w:color="auto"/>
        <w:left w:val="none" w:sz="0" w:space="0" w:color="auto"/>
        <w:bottom w:val="none" w:sz="0" w:space="0" w:color="auto"/>
        <w:right w:val="none" w:sz="0" w:space="0" w:color="auto"/>
      </w:divBdr>
    </w:div>
    <w:div w:id="1431200813">
      <w:bodyDiv w:val="1"/>
      <w:marLeft w:val="0"/>
      <w:marRight w:val="0"/>
      <w:marTop w:val="0"/>
      <w:marBottom w:val="0"/>
      <w:divBdr>
        <w:top w:val="none" w:sz="0" w:space="0" w:color="auto"/>
        <w:left w:val="none" w:sz="0" w:space="0" w:color="auto"/>
        <w:bottom w:val="none" w:sz="0" w:space="0" w:color="auto"/>
        <w:right w:val="none" w:sz="0" w:space="0" w:color="auto"/>
      </w:divBdr>
    </w:div>
    <w:div w:id="1486582056">
      <w:bodyDiv w:val="1"/>
      <w:marLeft w:val="0"/>
      <w:marRight w:val="0"/>
      <w:marTop w:val="0"/>
      <w:marBottom w:val="0"/>
      <w:divBdr>
        <w:top w:val="none" w:sz="0" w:space="0" w:color="auto"/>
        <w:left w:val="none" w:sz="0" w:space="0" w:color="auto"/>
        <w:bottom w:val="none" w:sz="0" w:space="0" w:color="auto"/>
        <w:right w:val="none" w:sz="0" w:space="0" w:color="auto"/>
      </w:divBdr>
    </w:div>
    <w:div w:id="1499226697">
      <w:bodyDiv w:val="1"/>
      <w:marLeft w:val="0"/>
      <w:marRight w:val="0"/>
      <w:marTop w:val="0"/>
      <w:marBottom w:val="0"/>
      <w:divBdr>
        <w:top w:val="none" w:sz="0" w:space="0" w:color="auto"/>
        <w:left w:val="none" w:sz="0" w:space="0" w:color="auto"/>
        <w:bottom w:val="none" w:sz="0" w:space="0" w:color="auto"/>
        <w:right w:val="none" w:sz="0" w:space="0" w:color="auto"/>
      </w:divBdr>
    </w:div>
    <w:div w:id="1530874381">
      <w:bodyDiv w:val="1"/>
      <w:marLeft w:val="0"/>
      <w:marRight w:val="0"/>
      <w:marTop w:val="0"/>
      <w:marBottom w:val="0"/>
      <w:divBdr>
        <w:top w:val="none" w:sz="0" w:space="0" w:color="auto"/>
        <w:left w:val="none" w:sz="0" w:space="0" w:color="auto"/>
        <w:bottom w:val="none" w:sz="0" w:space="0" w:color="auto"/>
        <w:right w:val="none" w:sz="0" w:space="0" w:color="auto"/>
      </w:divBdr>
    </w:div>
    <w:div w:id="1555848246">
      <w:bodyDiv w:val="1"/>
      <w:marLeft w:val="0"/>
      <w:marRight w:val="0"/>
      <w:marTop w:val="0"/>
      <w:marBottom w:val="0"/>
      <w:divBdr>
        <w:top w:val="none" w:sz="0" w:space="0" w:color="auto"/>
        <w:left w:val="none" w:sz="0" w:space="0" w:color="auto"/>
        <w:bottom w:val="none" w:sz="0" w:space="0" w:color="auto"/>
        <w:right w:val="none" w:sz="0" w:space="0" w:color="auto"/>
      </w:divBdr>
    </w:div>
    <w:div w:id="1566724783">
      <w:bodyDiv w:val="1"/>
      <w:marLeft w:val="0"/>
      <w:marRight w:val="0"/>
      <w:marTop w:val="0"/>
      <w:marBottom w:val="0"/>
      <w:divBdr>
        <w:top w:val="none" w:sz="0" w:space="0" w:color="auto"/>
        <w:left w:val="none" w:sz="0" w:space="0" w:color="auto"/>
        <w:bottom w:val="none" w:sz="0" w:space="0" w:color="auto"/>
        <w:right w:val="none" w:sz="0" w:space="0" w:color="auto"/>
      </w:divBdr>
    </w:div>
    <w:div w:id="1583180102">
      <w:bodyDiv w:val="1"/>
      <w:marLeft w:val="0"/>
      <w:marRight w:val="0"/>
      <w:marTop w:val="0"/>
      <w:marBottom w:val="0"/>
      <w:divBdr>
        <w:top w:val="none" w:sz="0" w:space="0" w:color="auto"/>
        <w:left w:val="none" w:sz="0" w:space="0" w:color="auto"/>
        <w:bottom w:val="none" w:sz="0" w:space="0" w:color="auto"/>
        <w:right w:val="none" w:sz="0" w:space="0" w:color="auto"/>
      </w:divBdr>
    </w:div>
    <w:div w:id="1626424727">
      <w:bodyDiv w:val="1"/>
      <w:marLeft w:val="0"/>
      <w:marRight w:val="0"/>
      <w:marTop w:val="0"/>
      <w:marBottom w:val="0"/>
      <w:divBdr>
        <w:top w:val="none" w:sz="0" w:space="0" w:color="auto"/>
        <w:left w:val="none" w:sz="0" w:space="0" w:color="auto"/>
        <w:bottom w:val="none" w:sz="0" w:space="0" w:color="auto"/>
        <w:right w:val="none" w:sz="0" w:space="0" w:color="auto"/>
      </w:divBdr>
    </w:div>
    <w:div w:id="1687514842">
      <w:bodyDiv w:val="1"/>
      <w:marLeft w:val="0"/>
      <w:marRight w:val="0"/>
      <w:marTop w:val="0"/>
      <w:marBottom w:val="0"/>
      <w:divBdr>
        <w:top w:val="none" w:sz="0" w:space="0" w:color="auto"/>
        <w:left w:val="none" w:sz="0" w:space="0" w:color="auto"/>
        <w:bottom w:val="none" w:sz="0" w:space="0" w:color="auto"/>
        <w:right w:val="none" w:sz="0" w:space="0" w:color="auto"/>
      </w:divBdr>
    </w:div>
    <w:div w:id="1692298307">
      <w:bodyDiv w:val="1"/>
      <w:marLeft w:val="0"/>
      <w:marRight w:val="0"/>
      <w:marTop w:val="0"/>
      <w:marBottom w:val="0"/>
      <w:divBdr>
        <w:top w:val="none" w:sz="0" w:space="0" w:color="auto"/>
        <w:left w:val="none" w:sz="0" w:space="0" w:color="auto"/>
        <w:bottom w:val="none" w:sz="0" w:space="0" w:color="auto"/>
        <w:right w:val="none" w:sz="0" w:space="0" w:color="auto"/>
      </w:divBdr>
    </w:div>
    <w:div w:id="1709453969">
      <w:bodyDiv w:val="1"/>
      <w:marLeft w:val="0"/>
      <w:marRight w:val="0"/>
      <w:marTop w:val="0"/>
      <w:marBottom w:val="0"/>
      <w:divBdr>
        <w:top w:val="none" w:sz="0" w:space="0" w:color="auto"/>
        <w:left w:val="none" w:sz="0" w:space="0" w:color="auto"/>
        <w:bottom w:val="none" w:sz="0" w:space="0" w:color="auto"/>
        <w:right w:val="none" w:sz="0" w:space="0" w:color="auto"/>
      </w:divBdr>
    </w:div>
    <w:div w:id="1717005205">
      <w:bodyDiv w:val="1"/>
      <w:marLeft w:val="0"/>
      <w:marRight w:val="0"/>
      <w:marTop w:val="0"/>
      <w:marBottom w:val="0"/>
      <w:divBdr>
        <w:top w:val="none" w:sz="0" w:space="0" w:color="auto"/>
        <w:left w:val="none" w:sz="0" w:space="0" w:color="auto"/>
        <w:bottom w:val="none" w:sz="0" w:space="0" w:color="auto"/>
        <w:right w:val="none" w:sz="0" w:space="0" w:color="auto"/>
      </w:divBdr>
    </w:div>
    <w:div w:id="1739522492">
      <w:bodyDiv w:val="1"/>
      <w:marLeft w:val="0"/>
      <w:marRight w:val="0"/>
      <w:marTop w:val="0"/>
      <w:marBottom w:val="0"/>
      <w:divBdr>
        <w:top w:val="none" w:sz="0" w:space="0" w:color="auto"/>
        <w:left w:val="none" w:sz="0" w:space="0" w:color="auto"/>
        <w:bottom w:val="none" w:sz="0" w:space="0" w:color="auto"/>
        <w:right w:val="none" w:sz="0" w:space="0" w:color="auto"/>
      </w:divBdr>
    </w:div>
    <w:div w:id="1746490518">
      <w:bodyDiv w:val="1"/>
      <w:marLeft w:val="0"/>
      <w:marRight w:val="0"/>
      <w:marTop w:val="0"/>
      <w:marBottom w:val="0"/>
      <w:divBdr>
        <w:top w:val="none" w:sz="0" w:space="0" w:color="auto"/>
        <w:left w:val="none" w:sz="0" w:space="0" w:color="auto"/>
        <w:bottom w:val="none" w:sz="0" w:space="0" w:color="auto"/>
        <w:right w:val="none" w:sz="0" w:space="0" w:color="auto"/>
      </w:divBdr>
    </w:div>
    <w:div w:id="1749691552">
      <w:bodyDiv w:val="1"/>
      <w:marLeft w:val="0"/>
      <w:marRight w:val="0"/>
      <w:marTop w:val="0"/>
      <w:marBottom w:val="0"/>
      <w:divBdr>
        <w:top w:val="none" w:sz="0" w:space="0" w:color="auto"/>
        <w:left w:val="none" w:sz="0" w:space="0" w:color="auto"/>
        <w:bottom w:val="none" w:sz="0" w:space="0" w:color="auto"/>
        <w:right w:val="none" w:sz="0" w:space="0" w:color="auto"/>
      </w:divBdr>
    </w:div>
    <w:div w:id="1812213438">
      <w:bodyDiv w:val="1"/>
      <w:marLeft w:val="0"/>
      <w:marRight w:val="0"/>
      <w:marTop w:val="0"/>
      <w:marBottom w:val="0"/>
      <w:divBdr>
        <w:top w:val="none" w:sz="0" w:space="0" w:color="auto"/>
        <w:left w:val="none" w:sz="0" w:space="0" w:color="auto"/>
        <w:bottom w:val="none" w:sz="0" w:space="0" w:color="auto"/>
        <w:right w:val="none" w:sz="0" w:space="0" w:color="auto"/>
      </w:divBdr>
    </w:div>
    <w:div w:id="1837962194">
      <w:bodyDiv w:val="1"/>
      <w:marLeft w:val="0"/>
      <w:marRight w:val="0"/>
      <w:marTop w:val="0"/>
      <w:marBottom w:val="0"/>
      <w:divBdr>
        <w:top w:val="none" w:sz="0" w:space="0" w:color="auto"/>
        <w:left w:val="none" w:sz="0" w:space="0" w:color="auto"/>
        <w:bottom w:val="none" w:sz="0" w:space="0" w:color="auto"/>
        <w:right w:val="none" w:sz="0" w:space="0" w:color="auto"/>
      </w:divBdr>
    </w:div>
    <w:div w:id="1840727864">
      <w:bodyDiv w:val="1"/>
      <w:marLeft w:val="0"/>
      <w:marRight w:val="0"/>
      <w:marTop w:val="0"/>
      <w:marBottom w:val="0"/>
      <w:divBdr>
        <w:top w:val="none" w:sz="0" w:space="0" w:color="auto"/>
        <w:left w:val="none" w:sz="0" w:space="0" w:color="auto"/>
        <w:bottom w:val="none" w:sz="0" w:space="0" w:color="auto"/>
        <w:right w:val="none" w:sz="0" w:space="0" w:color="auto"/>
      </w:divBdr>
    </w:div>
    <w:div w:id="1862014198">
      <w:bodyDiv w:val="1"/>
      <w:marLeft w:val="0"/>
      <w:marRight w:val="0"/>
      <w:marTop w:val="0"/>
      <w:marBottom w:val="0"/>
      <w:divBdr>
        <w:top w:val="none" w:sz="0" w:space="0" w:color="auto"/>
        <w:left w:val="none" w:sz="0" w:space="0" w:color="auto"/>
        <w:bottom w:val="none" w:sz="0" w:space="0" w:color="auto"/>
        <w:right w:val="none" w:sz="0" w:space="0" w:color="auto"/>
      </w:divBdr>
    </w:div>
    <w:div w:id="1864898109">
      <w:bodyDiv w:val="1"/>
      <w:marLeft w:val="0"/>
      <w:marRight w:val="0"/>
      <w:marTop w:val="0"/>
      <w:marBottom w:val="0"/>
      <w:divBdr>
        <w:top w:val="none" w:sz="0" w:space="0" w:color="auto"/>
        <w:left w:val="none" w:sz="0" w:space="0" w:color="auto"/>
        <w:bottom w:val="none" w:sz="0" w:space="0" w:color="auto"/>
        <w:right w:val="none" w:sz="0" w:space="0" w:color="auto"/>
      </w:divBdr>
    </w:div>
    <w:div w:id="1884100974">
      <w:bodyDiv w:val="1"/>
      <w:marLeft w:val="0"/>
      <w:marRight w:val="0"/>
      <w:marTop w:val="0"/>
      <w:marBottom w:val="0"/>
      <w:divBdr>
        <w:top w:val="none" w:sz="0" w:space="0" w:color="auto"/>
        <w:left w:val="none" w:sz="0" w:space="0" w:color="auto"/>
        <w:bottom w:val="none" w:sz="0" w:space="0" w:color="auto"/>
        <w:right w:val="none" w:sz="0" w:space="0" w:color="auto"/>
      </w:divBdr>
    </w:div>
    <w:div w:id="1886525992">
      <w:bodyDiv w:val="1"/>
      <w:marLeft w:val="0"/>
      <w:marRight w:val="0"/>
      <w:marTop w:val="0"/>
      <w:marBottom w:val="0"/>
      <w:divBdr>
        <w:top w:val="none" w:sz="0" w:space="0" w:color="auto"/>
        <w:left w:val="none" w:sz="0" w:space="0" w:color="auto"/>
        <w:bottom w:val="none" w:sz="0" w:space="0" w:color="auto"/>
        <w:right w:val="none" w:sz="0" w:space="0" w:color="auto"/>
      </w:divBdr>
    </w:div>
    <w:div w:id="1889410629">
      <w:bodyDiv w:val="1"/>
      <w:marLeft w:val="0"/>
      <w:marRight w:val="0"/>
      <w:marTop w:val="0"/>
      <w:marBottom w:val="0"/>
      <w:divBdr>
        <w:top w:val="none" w:sz="0" w:space="0" w:color="auto"/>
        <w:left w:val="none" w:sz="0" w:space="0" w:color="auto"/>
        <w:bottom w:val="none" w:sz="0" w:space="0" w:color="auto"/>
        <w:right w:val="none" w:sz="0" w:space="0" w:color="auto"/>
      </w:divBdr>
    </w:div>
    <w:div w:id="1903103093">
      <w:bodyDiv w:val="1"/>
      <w:marLeft w:val="0"/>
      <w:marRight w:val="0"/>
      <w:marTop w:val="0"/>
      <w:marBottom w:val="0"/>
      <w:divBdr>
        <w:top w:val="none" w:sz="0" w:space="0" w:color="auto"/>
        <w:left w:val="none" w:sz="0" w:space="0" w:color="auto"/>
        <w:bottom w:val="none" w:sz="0" w:space="0" w:color="auto"/>
        <w:right w:val="none" w:sz="0" w:space="0" w:color="auto"/>
      </w:divBdr>
    </w:div>
    <w:div w:id="1907303684">
      <w:bodyDiv w:val="1"/>
      <w:marLeft w:val="0"/>
      <w:marRight w:val="0"/>
      <w:marTop w:val="0"/>
      <w:marBottom w:val="0"/>
      <w:divBdr>
        <w:top w:val="none" w:sz="0" w:space="0" w:color="auto"/>
        <w:left w:val="none" w:sz="0" w:space="0" w:color="auto"/>
        <w:bottom w:val="none" w:sz="0" w:space="0" w:color="auto"/>
        <w:right w:val="none" w:sz="0" w:space="0" w:color="auto"/>
      </w:divBdr>
    </w:div>
    <w:div w:id="1951277691">
      <w:bodyDiv w:val="1"/>
      <w:marLeft w:val="0"/>
      <w:marRight w:val="0"/>
      <w:marTop w:val="0"/>
      <w:marBottom w:val="0"/>
      <w:divBdr>
        <w:top w:val="none" w:sz="0" w:space="0" w:color="auto"/>
        <w:left w:val="none" w:sz="0" w:space="0" w:color="auto"/>
        <w:bottom w:val="none" w:sz="0" w:space="0" w:color="auto"/>
        <w:right w:val="none" w:sz="0" w:space="0" w:color="auto"/>
      </w:divBdr>
    </w:div>
    <w:div w:id="1964649849">
      <w:bodyDiv w:val="1"/>
      <w:marLeft w:val="0"/>
      <w:marRight w:val="0"/>
      <w:marTop w:val="0"/>
      <w:marBottom w:val="0"/>
      <w:divBdr>
        <w:top w:val="none" w:sz="0" w:space="0" w:color="auto"/>
        <w:left w:val="none" w:sz="0" w:space="0" w:color="auto"/>
        <w:bottom w:val="none" w:sz="0" w:space="0" w:color="auto"/>
        <w:right w:val="none" w:sz="0" w:space="0" w:color="auto"/>
      </w:divBdr>
    </w:div>
    <w:div w:id="2028217107">
      <w:bodyDiv w:val="1"/>
      <w:marLeft w:val="0"/>
      <w:marRight w:val="0"/>
      <w:marTop w:val="0"/>
      <w:marBottom w:val="0"/>
      <w:divBdr>
        <w:top w:val="none" w:sz="0" w:space="0" w:color="auto"/>
        <w:left w:val="none" w:sz="0" w:space="0" w:color="auto"/>
        <w:bottom w:val="none" w:sz="0" w:space="0" w:color="auto"/>
        <w:right w:val="none" w:sz="0" w:space="0" w:color="auto"/>
      </w:divBdr>
    </w:div>
    <w:div w:id="210869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IR@mfsa.m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E6C96A2-7C98-436F-AAD0-EED36256B736}"/>
      </w:docPartPr>
      <w:docPartBody>
        <w:p w:rsidR="001A77DF" w:rsidRDefault="0073705E">
          <w:r w:rsidRPr="009645F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455EE6C-F7F2-4091-BDC5-F3578EAE7132}"/>
      </w:docPartPr>
      <w:docPartBody>
        <w:p w:rsidR="001A77DF" w:rsidRDefault="0073705E">
          <w:r w:rsidRPr="009645F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Myriad Pro">
    <w:altName w:val="Segoe UI"/>
    <w:panose1 w:val="00000000000000000000"/>
    <w:charset w:val="00"/>
    <w:family w:val="swiss"/>
    <w:notTrueType/>
    <w:pitch w:val="variable"/>
    <w:sig w:usb0="A00002AF" w:usb1="5000204B" w:usb2="00000000" w:usb3="00000000" w:csb0="0000009F" w:csb1="00000000"/>
  </w:font>
  <w:font w:name="Poppins Light">
    <w:altName w:val="Poppins Light"/>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5E"/>
    <w:rsid w:val="001A77DF"/>
    <w:rsid w:val="002F45CD"/>
    <w:rsid w:val="003A3A26"/>
    <w:rsid w:val="00455565"/>
    <w:rsid w:val="00681AF3"/>
    <w:rsid w:val="00703025"/>
    <w:rsid w:val="0073705E"/>
    <w:rsid w:val="00A2708E"/>
    <w:rsid w:val="00B76F40"/>
    <w:rsid w:val="00DF1A26"/>
    <w:rsid w:val="00F65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3705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D641B-0563-45B9-9A4F-FE5847E71E4C}">
  <ds:schemaRefs>
    <ds:schemaRef ds:uri="http://schemas.openxmlformats.org/officeDocument/2006/bibliography"/>
  </ds:schemaRefs>
</ds:datastoreItem>
</file>

<file path=docMetadata/LabelInfo.xml><?xml version="1.0" encoding="utf-8"?>
<clbl:labelList xmlns:clbl="http://schemas.microsoft.com/office/2020/mipLabelMetadata">
  <clbl:label id="{cfe0f525-e30b-42d4-87db-a2239187d737}" enabled="1" method="Privileged" siteId="{8410b6b8-f588-443a-9e60-c749811fbe5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23</Pages>
  <Words>4849</Words>
  <Characters>27642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32427</CharactersWithSpaces>
  <SharedDoc>false</SharedDoc>
  <HLinks>
    <vt:vector size="6" baseType="variant">
      <vt:variant>
        <vt:i4>4849700</vt:i4>
      </vt:variant>
      <vt:variant>
        <vt:i4>8</vt:i4>
      </vt:variant>
      <vt:variant>
        <vt:i4>0</vt:i4>
      </vt:variant>
      <vt:variant>
        <vt:i4>5</vt:i4>
      </vt:variant>
      <vt:variant>
        <vt:lpwstr>mailto:EMIR@mfsa.com.mt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Spiteri</dc:creator>
  <cp:keywords/>
  <dc:description/>
  <cp:lastModifiedBy>Valerio Decaro</cp:lastModifiedBy>
  <cp:revision>4</cp:revision>
  <cp:lastPrinted>2026-07-13T06:05:00Z</cp:lastPrinted>
  <dcterms:created xsi:type="dcterms:W3CDTF">2026-07-13T05:57:00Z</dcterms:created>
  <dcterms:modified xsi:type="dcterms:W3CDTF">2026-07-13T06:07:00Z</dcterms:modified>
</cp:coreProperties>
</file>