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0C" w:rsidRPr="00D8356D" w:rsidRDefault="00C4280C" w:rsidP="00C4280C">
      <w:pPr>
        <w:jc w:val="center"/>
        <w:rPr>
          <w:rFonts w:ascii="Times New Roman" w:hAnsi="Times New Roman" w:cs="Times New Roman"/>
          <w:b/>
          <w:bCs/>
          <w:i/>
          <w:sz w:val="52"/>
          <w:szCs w:val="52"/>
        </w:rPr>
      </w:pPr>
    </w:p>
    <w:p w:rsidR="00C4280C" w:rsidRPr="00D8356D" w:rsidRDefault="00C4280C" w:rsidP="00C4280C">
      <w:pPr>
        <w:jc w:val="center"/>
        <w:rPr>
          <w:rFonts w:ascii="Times New Roman" w:hAnsi="Times New Roman" w:cs="Times New Roman"/>
          <w:b/>
          <w:bCs/>
          <w:sz w:val="52"/>
          <w:szCs w:val="52"/>
        </w:rPr>
      </w:pPr>
      <w:bookmarkStart w:id="0" w:name="_GoBack"/>
      <w:r w:rsidRPr="00D8356D">
        <w:rPr>
          <w:rFonts w:ascii="Times New Roman" w:hAnsi="Times New Roman" w:cs="Times New Roman"/>
          <w:noProof/>
          <w:lang w:eastAsia="en-GB"/>
        </w:rPr>
        <w:drawing>
          <wp:inline distT="0" distB="0" distL="0" distR="0" wp14:anchorId="28D3132D" wp14:editId="44937200">
            <wp:extent cx="4166559" cy="718732"/>
            <wp:effectExtent l="0" t="0" r="5715" b="5715"/>
            <wp:docPr id="1" name="Picture 1" descr="MFSC - MFSA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SC - MFSA 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1137" cy="724697"/>
                    </a:xfrm>
                    <a:prstGeom prst="rect">
                      <a:avLst/>
                    </a:prstGeom>
                    <a:noFill/>
                    <a:ln>
                      <a:noFill/>
                    </a:ln>
                  </pic:spPr>
                </pic:pic>
              </a:graphicData>
            </a:graphic>
          </wp:inline>
        </w:drawing>
      </w:r>
      <w:bookmarkEnd w:id="0"/>
    </w:p>
    <w:p w:rsidR="0099044B" w:rsidRPr="00D8356D" w:rsidRDefault="0099044B" w:rsidP="00C4280C">
      <w:pPr>
        <w:jc w:val="center"/>
        <w:rPr>
          <w:rFonts w:ascii="Times New Roman" w:hAnsi="Times New Roman" w:cs="Times New Roman"/>
          <w:b/>
          <w:bCs/>
          <w:sz w:val="52"/>
          <w:szCs w:val="52"/>
        </w:rPr>
      </w:pPr>
    </w:p>
    <w:p w:rsidR="00C4280C" w:rsidRPr="00D8356D" w:rsidRDefault="00C4280C" w:rsidP="00C4280C">
      <w:pPr>
        <w:jc w:val="center"/>
        <w:rPr>
          <w:rFonts w:ascii="Times New Roman" w:hAnsi="Times New Roman" w:cs="Times New Roman"/>
          <w:b/>
          <w:bCs/>
          <w:sz w:val="52"/>
          <w:szCs w:val="52"/>
        </w:rPr>
      </w:pPr>
    </w:p>
    <w:p w:rsidR="00B2632D" w:rsidRDefault="00B2632D" w:rsidP="00C4280C">
      <w:pPr>
        <w:pBdr>
          <w:top w:val="single" w:sz="4" w:space="1" w:color="auto"/>
          <w:bottom w:val="single" w:sz="4" w:space="1" w:color="auto"/>
        </w:pBdr>
        <w:jc w:val="center"/>
        <w:rPr>
          <w:rFonts w:ascii="Times New Roman" w:hAnsi="Times New Roman" w:cs="Times New Roman"/>
          <w:b/>
          <w:bCs/>
          <w:sz w:val="40"/>
          <w:szCs w:val="40"/>
        </w:rPr>
      </w:pPr>
    </w:p>
    <w:p w:rsidR="00C4280C" w:rsidRPr="00DA7AD0" w:rsidRDefault="00C4280C" w:rsidP="00C4280C">
      <w:pPr>
        <w:pBdr>
          <w:top w:val="single" w:sz="4" w:space="1" w:color="auto"/>
          <w:bottom w:val="single" w:sz="4" w:space="1" w:color="auto"/>
        </w:pBdr>
        <w:jc w:val="center"/>
        <w:rPr>
          <w:rFonts w:ascii="Times New Roman" w:hAnsi="Times New Roman" w:cs="Times New Roman"/>
          <w:bCs/>
          <w:sz w:val="48"/>
          <w:szCs w:val="48"/>
        </w:rPr>
      </w:pPr>
      <w:r w:rsidRPr="00DA7AD0">
        <w:rPr>
          <w:rFonts w:ascii="Times New Roman" w:hAnsi="Times New Roman" w:cs="Times New Roman"/>
          <w:bCs/>
          <w:sz w:val="48"/>
          <w:szCs w:val="48"/>
        </w:rPr>
        <w:t xml:space="preserve">Self-Assessment for </w:t>
      </w:r>
      <w:r w:rsidR="00DA7AD0" w:rsidRPr="00DA7AD0">
        <w:rPr>
          <w:rFonts w:ascii="Times New Roman" w:hAnsi="Times New Roman" w:cs="Times New Roman"/>
          <w:bCs/>
          <w:sz w:val="48"/>
          <w:szCs w:val="48"/>
        </w:rPr>
        <w:t>Fund Managers and Self-Managed Collective Investment Schemes a</w:t>
      </w:r>
      <w:r w:rsidR="00700D7E" w:rsidRPr="00DA7AD0">
        <w:rPr>
          <w:rFonts w:ascii="Times New Roman" w:hAnsi="Times New Roman" w:cs="Times New Roman"/>
          <w:bCs/>
          <w:sz w:val="48"/>
          <w:szCs w:val="48"/>
        </w:rPr>
        <w:t>pplying for an</w:t>
      </w:r>
      <w:r w:rsidRPr="00DA7AD0">
        <w:rPr>
          <w:rFonts w:ascii="Times New Roman" w:hAnsi="Times New Roman" w:cs="Times New Roman"/>
          <w:bCs/>
          <w:sz w:val="48"/>
          <w:szCs w:val="48"/>
        </w:rPr>
        <w:t xml:space="preserve"> AIFM licence</w:t>
      </w:r>
    </w:p>
    <w:p w:rsidR="00B2632D" w:rsidRPr="008934CD" w:rsidRDefault="00B2632D" w:rsidP="00C4280C">
      <w:pPr>
        <w:pBdr>
          <w:top w:val="single" w:sz="4" w:space="1" w:color="auto"/>
          <w:bottom w:val="single" w:sz="4" w:space="1" w:color="auto"/>
        </w:pBdr>
        <w:jc w:val="center"/>
        <w:rPr>
          <w:rFonts w:ascii="Times New Roman" w:hAnsi="Times New Roman" w:cs="Times New Roman"/>
          <w:b/>
          <w:bCs/>
          <w:sz w:val="40"/>
          <w:szCs w:val="40"/>
        </w:rPr>
      </w:pPr>
    </w:p>
    <w:p w:rsidR="00C4280C" w:rsidRPr="00D8356D" w:rsidRDefault="00C4280C" w:rsidP="00C4280C">
      <w:pPr>
        <w:jc w:val="center"/>
        <w:rPr>
          <w:rFonts w:ascii="Times New Roman" w:hAnsi="Times New Roman" w:cs="Times New Roman"/>
          <w:b/>
          <w:bCs/>
          <w:i/>
          <w:sz w:val="28"/>
          <w:szCs w:val="28"/>
        </w:rPr>
      </w:pPr>
    </w:p>
    <w:tbl>
      <w:tblPr>
        <w:tblW w:w="7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C4280C" w:rsidRPr="00D8356D" w:rsidTr="0099044B">
        <w:trPr>
          <w:trHeight w:val="322"/>
          <w:jc w:val="center"/>
        </w:trPr>
        <w:tc>
          <w:tcPr>
            <w:tcW w:w="7513" w:type="dxa"/>
            <w:vMerge w:val="restart"/>
            <w:tcBorders>
              <w:top w:val="nil"/>
              <w:left w:val="nil"/>
              <w:bottom w:val="nil"/>
              <w:right w:val="nil"/>
            </w:tcBorders>
            <w:shd w:val="clear" w:color="auto" w:fill="auto"/>
            <w:noWrap/>
            <w:vAlign w:val="bottom"/>
            <w:hideMark/>
          </w:tcPr>
          <w:p w:rsidR="00AF1CE1" w:rsidRPr="00DA7AD0" w:rsidRDefault="00C4280C" w:rsidP="001E09BC">
            <w:pPr>
              <w:spacing w:after="0" w:line="240" w:lineRule="auto"/>
              <w:jc w:val="center"/>
              <w:rPr>
                <w:rFonts w:ascii="Times New Roman" w:eastAsia="Times New Roman" w:hAnsi="Times New Roman" w:cs="Times New Roman"/>
                <w:sz w:val="28"/>
                <w:szCs w:val="28"/>
                <w:lang w:eastAsia="en-GB"/>
              </w:rPr>
            </w:pPr>
            <w:r w:rsidRPr="00DA7AD0">
              <w:rPr>
                <w:rFonts w:ascii="Times New Roman" w:eastAsia="Times New Roman" w:hAnsi="Times New Roman" w:cs="Times New Roman"/>
                <w:sz w:val="28"/>
                <w:szCs w:val="28"/>
                <w:lang w:eastAsia="en-GB"/>
              </w:rPr>
              <w:t xml:space="preserve">Name of </w:t>
            </w:r>
            <w:r w:rsidR="001E09BC" w:rsidRPr="00DA7AD0">
              <w:rPr>
                <w:rFonts w:ascii="Times New Roman" w:eastAsia="Times New Roman" w:hAnsi="Times New Roman" w:cs="Times New Roman"/>
                <w:sz w:val="28"/>
                <w:szCs w:val="28"/>
                <w:lang w:eastAsia="en-GB"/>
              </w:rPr>
              <w:t xml:space="preserve">Licence Holder </w:t>
            </w:r>
            <w:r w:rsidRPr="00DA7AD0">
              <w:rPr>
                <w:rFonts w:ascii="Times New Roman" w:eastAsia="Times New Roman" w:hAnsi="Times New Roman" w:cs="Times New Roman"/>
                <w:sz w:val="28"/>
                <w:szCs w:val="28"/>
                <w:lang w:eastAsia="en-GB"/>
              </w:rPr>
              <w:t xml:space="preserve"> (as </w:t>
            </w:r>
            <w:r w:rsidR="0031789A" w:rsidRPr="00DA7AD0">
              <w:rPr>
                <w:rFonts w:ascii="Times New Roman" w:eastAsia="Times New Roman" w:hAnsi="Times New Roman" w:cs="Times New Roman"/>
                <w:sz w:val="28"/>
                <w:szCs w:val="28"/>
                <w:lang w:eastAsia="en-GB"/>
              </w:rPr>
              <w:t>indicated in</w:t>
            </w:r>
            <w:r w:rsidRPr="00DA7AD0">
              <w:rPr>
                <w:rFonts w:ascii="Times New Roman" w:eastAsia="Times New Roman" w:hAnsi="Times New Roman" w:cs="Times New Roman"/>
                <w:sz w:val="28"/>
                <w:szCs w:val="28"/>
                <w:lang w:eastAsia="en-GB"/>
              </w:rPr>
              <w:t xml:space="preserve"> </w:t>
            </w:r>
            <w:r w:rsidR="00DC04C5" w:rsidRPr="00DA7AD0">
              <w:rPr>
                <w:rFonts w:ascii="Times New Roman" w:eastAsia="Times New Roman" w:hAnsi="Times New Roman" w:cs="Times New Roman"/>
                <w:sz w:val="28"/>
                <w:szCs w:val="28"/>
                <w:lang w:eastAsia="en-GB"/>
              </w:rPr>
              <w:t xml:space="preserve">CIS/ IS </w:t>
            </w:r>
            <w:r w:rsidR="008934CD" w:rsidRPr="00DA7AD0">
              <w:rPr>
                <w:rFonts w:ascii="Times New Roman" w:eastAsia="Times New Roman" w:hAnsi="Times New Roman" w:cs="Times New Roman"/>
                <w:sz w:val="28"/>
                <w:szCs w:val="28"/>
                <w:lang w:eastAsia="en-GB"/>
              </w:rPr>
              <w:t>Licence)</w:t>
            </w:r>
          </w:p>
        </w:tc>
      </w:tr>
      <w:tr w:rsidR="00C4280C" w:rsidRPr="00D8356D" w:rsidTr="0099044B">
        <w:trPr>
          <w:trHeight w:val="322"/>
          <w:jc w:val="center"/>
        </w:trPr>
        <w:tc>
          <w:tcPr>
            <w:tcW w:w="7513" w:type="dxa"/>
            <w:vMerge/>
            <w:tcBorders>
              <w:top w:val="nil"/>
              <w:left w:val="nil"/>
              <w:bottom w:val="single" w:sz="4" w:space="0" w:color="auto"/>
              <w:right w:val="nil"/>
            </w:tcBorders>
            <w:vAlign w:val="center"/>
            <w:hideMark/>
          </w:tcPr>
          <w:p w:rsidR="00C4280C" w:rsidRPr="00D8356D" w:rsidRDefault="00C4280C" w:rsidP="00C4280C">
            <w:pPr>
              <w:spacing w:after="0" w:line="240" w:lineRule="auto"/>
              <w:rPr>
                <w:rFonts w:ascii="Times New Roman" w:eastAsia="Times New Roman" w:hAnsi="Times New Roman" w:cs="Times New Roman"/>
                <w:b/>
                <w:sz w:val="28"/>
                <w:szCs w:val="28"/>
                <w:lang w:eastAsia="en-GB"/>
              </w:rPr>
            </w:pPr>
          </w:p>
        </w:tc>
      </w:tr>
      <w:tr w:rsidR="00C4280C" w:rsidRPr="00D8356D" w:rsidTr="0099044B">
        <w:trPr>
          <w:trHeight w:val="330"/>
          <w:jc w:val="center"/>
        </w:trPr>
        <w:tc>
          <w:tcPr>
            <w:tcW w:w="7513" w:type="dxa"/>
            <w:tcBorders>
              <w:top w:val="single" w:sz="4" w:space="0" w:color="auto"/>
            </w:tcBorders>
            <w:shd w:val="clear" w:color="000000" w:fill="FFFF00"/>
            <w:noWrap/>
            <w:vAlign w:val="center"/>
            <w:hideMark/>
          </w:tcPr>
          <w:p w:rsidR="00C4280C" w:rsidRPr="00D8356D" w:rsidRDefault="008A1C5E" w:rsidP="00E8328D">
            <w:pPr>
              <w:spacing w:after="0" w:line="240" w:lineRule="auto"/>
              <w:jc w:val="center"/>
              <w:rPr>
                <w:rFonts w:ascii="Times New Roman" w:eastAsia="Times New Roman" w:hAnsi="Times New Roman" w:cs="Times New Roman"/>
                <w:b/>
                <w:bCs/>
                <w:sz w:val="28"/>
                <w:szCs w:val="28"/>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Pr="00C37340">
              <w:rPr>
                <w:rFonts w:ascii="Arial" w:hAnsi="Arial"/>
                <w:szCs w:val="24"/>
              </w:rPr>
              <w:fldChar w:fldCharType="end"/>
            </w:r>
            <w:r w:rsidR="00C4280C" w:rsidRPr="00D8356D">
              <w:rPr>
                <w:rFonts w:ascii="Times New Roman" w:eastAsia="Times New Roman" w:hAnsi="Times New Roman" w:cs="Times New Roman"/>
                <w:b/>
                <w:bCs/>
                <w:sz w:val="28"/>
                <w:szCs w:val="28"/>
                <w:lang w:eastAsia="en-GB"/>
              </w:rPr>
              <w:t> </w:t>
            </w:r>
          </w:p>
        </w:tc>
      </w:tr>
    </w:tbl>
    <w:tbl>
      <w:tblPr>
        <w:tblpPr w:leftFromText="180" w:rightFromText="180" w:vertAnchor="text" w:horzAnchor="page" w:tblpX="3004" w:tblpY="47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1701"/>
      </w:tblGrid>
      <w:tr w:rsidR="00CC36FD" w:rsidRPr="00D8356D" w:rsidTr="00CC36FD">
        <w:trPr>
          <w:trHeight w:val="315"/>
        </w:trPr>
        <w:tc>
          <w:tcPr>
            <w:tcW w:w="2802" w:type="dxa"/>
            <w:tcBorders>
              <w:top w:val="nil"/>
              <w:left w:val="nil"/>
              <w:bottom w:val="nil"/>
              <w:right w:val="nil"/>
            </w:tcBorders>
            <w:shd w:val="clear" w:color="auto" w:fill="auto"/>
            <w:noWrap/>
            <w:vAlign w:val="bottom"/>
            <w:hideMark/>
          </w:tcPr>
          <w:p w:rsidR="00CC36FD" w:rsidRPr="00DA7AD0" w:rsidRDefault="00CC36FD" w:rsidP="00CC36FD">
            <w:pPr>
              <w:spacing w:after="0" w:line="240" w:lineRule="auto"/>
              <w:jc w:val="center"/>
              <w:rPr>
                <w:rFonts w:ascii="Times New Roman" w:eastAsia="Times New Roman" w:hAnsi="Times New Roman" w:cs="Times New Roman"/>
                <w:bCs/>
                <w:sz w:val="28"/>
                <w:szCs w:val="28"/>
                <w:lang w:eastAsia="en-GB"/>
              </w:rPr>
            </w:pPr>
            <w:r w:rsidRPr="00DA7AD0">
              <w:rPr>
                <w:rFonts w:ascii="Times New Roman" w:eastAsia="Times New Roman" w:hAnsi="Times New Roman" w:cs="Times New Roman"/>
                <w:bCs/>
                <w:sz w:val="28"/>
                <w:szCs w:val="28"/>
                <w:lang w:eastAsia="en-GB"/>
              </w:rPr>
              <w:t xml:space="preserve">Date of Submission: </w:t>
            </w:r>
          </w:p>
        </w:tc>
        <w:tc>
          <w:tcPr>
            <w:tcW w:w="425" w:type="dxa"/>
            <w:tcBorders>
              <w:top w:val="nil"/>
              <w:left w:val="nil"/>
              <w:bottom w:val="nil"/>
              <w:right w:val="single" w:sz="4" w:space="0" w:color="auto"/>
            </w:tcBorders>
            <w:shd w:val="clear" w:color="000000" w:fill="FFFFFF"/>
            <w:noWrap/>
            <w:vAlign w:val="bottom"/>
            <w:hideMark/>
          </w:tcPr>
          <w:p w:rsidR="00CC36FD" w:rsidRPr="00D8356D" w:rsidRDefault="00CC36FD" w:rsidP="00CC36FD">
            <w:pPr>
              <w:spacing w:after="0" w:line="240" w:lineRule="auto"/>
              <w:ind w:left="-367"/>
              <w:rPr>
                <w:rFonts w:ascii="Times New Roman" w:eastAsia="Times New Roman" w:hAnsi="Times New Roman" w:cs="Times New Roman"/>
                <w:color w:val="000000"/>
                <w:sz w:val="28"/>
                <w:szCs w:val="28"/>
                <w:lang w:eastAsia="en-GB"/>
              </w:rPr>
            </w:pPr>
            <w:r w:rsidRPr="00D8356D">
              <w:rPr>
                <w:rFonts w:ascii="Times New Roman" w:eastAsia="Times New Roman" w:hAnsi="Times New Roman" w:cs="Times New Roman"/>
                <w:color w:val="000000"/>
                <w:sz w:val="28"/>
                <w:szCs w:val="28"/>
                <w:lang w:eastAsia="en-GB"/>
              </w:rPr>
              <w:t> </w:t>
            </w:r>
          </w:p>
        </w:tc>
        <w:tc>
          <w:tcPr>
            <w:tcW w:w="1701" w:type="dxa"/>
            <w:tcBorders>
              <w:left w:val="single" w:sz="4" w:space="0" w:color="auto"/>
            </w:tcBorders>
            <w:shd w:val="clear" w:color="000000" w:fill="FFFF00"/>
            <w:noWrap/>
            <w:vAlign w:val="center"/>
            <w:hideMark/>
          </w:tcPr>
          <w:p w:rsidR="00CC36FD" w:rsidRPr="00D8356D" w:rsidRDefault="00CC36FD" w:rsidP="00CC36FD">
            <w:pPr>
              <w:spacing w:after="0" w:line="240" w:lineRule="auto"/>
              <w:ind w:left="-367"/>
              <w:jc w:val="center"/>
              <w:rPr>
                <w:rFonts w:ascii="Times New Roman" w:eastAsia="Times New Roman" w:hAnsi="Times New Roman" w:cs="Times New Roman"/>
                <w:color w:val="000000"/>
                <w:sz w:val="28"/>
                <w:szCs w:val="28"/>
                <w:lang w:eastAsia="en-GB"/>
              </w:rPr>
            </w:pPr>
            <w:r w:rsidRPr="00D8356D">
              <w:rPr>
                <w:rFonts w:ascii="Times New Roman" w:eastAsia="Times New Roman" w:hAnsi="Times New Roman" w:cs="Times New Roman"/>
                <w:color w:val="000000"/>
                <w:sz w:val="28"/>
                <w:szCs w:val="28"/>
                <w:lang w:eastAsia="en-GB"/>
              </w:rPr>
              <w:t> </w:t>
            </w:r>
            <w:r w:rsidR="008A1C5E" w:rsidRPr="00C37340">
              <w:rPr>
                <w:rFonts w:ascii="Arial" w:hAnsi="Arial"/>
                <w:szCs w:val="24"/>
              </w:rPr>
              <w:fldChar w:fldCharType="begin">
                <w:ffData>
                  <w:name w:val="Text30"/>
                  <w:enabled/>
                  <w:calcOnExit w:val="0"/>
                  <w:textInput/>
                </w:ffData>
              </w:fldChar>
            </w:r>
            <w:r w:rsidR="008A1C5E" w:rsidRPr="00C37340">
              <w:rPr>
                <w:rFonts w:ascii="Arial" w:hAnsi="Arial"/>
                <w:szCs w:val="24"/>
              </w:rPr>
              <w:instrText xml:space="preserve"> FORMTEXT </w:instrText>
            </w:r>
            <w:r w:rsidR="008A1C5E" w:rsidRPr="00C37340">
              <w:rPr>
                <w:rFonts w:ascii="Arial" w:hAnsi="Arial"/>
                <w:szCs w:val="24"/>
              </w:rPr>
            </w:r>
            <w:r w:rsidR="008A1C5E" w:rsidRPr="00C37340">
              <w:rPr>
                <w:rFonts w:ascii="Arial" w:hAnsi="Arial"/>
                <w:szCs w:val="24"/>
              </w:rPr>
              <w:fldChar w:fldCharType="separate"/>
            </w:r>
            <w:r w:rsidR="008A1C5E">
              <w:rPr>
                <w:rFonts w:ascii="Arial" w:hAnsi="Arial"/>
                <w:szCs w:val="24"/>
              </w:rPr>
              <w:t> </w:t>
            </w:r>
            <w:r w:rsidR="008A1C5E">
              <w:rPr>
                <w:rFonts w:ascii="Arial" w:hAnsi="Arial"/>
                <w:szCs w:val="24"/>
              </w:rPr>
              <w:t> </w:t>
            </w:r>
            <w:r w:rsidR="008A1C5E">
              <w:rPr>
                <w:rFonts w:ascii="Arial" w:hAnsi="Arial"/>
                <w:szCs w:val="24"/>
              </w:rPr>
              <w:t> </w:t>
            </w:r>
            <w:r w:rsidR="008A1C5E">
              <w:rPr>
                <w:rFonts w:ascii="Arial" w:hAnsi="Arial"/>
                <w:szCs w:val="24"/>
              </w:rPr>
              <w:t> </w:t>
            </w:r>
            <w:r w:rsidR="008A1C5E">
              <w:rPr>
                <w:rFonts w:ascii="Arial" w:hAnsi="Arial"/>
                <w:szCs w:val="24"/>
              </w:rPr>
              <w:t> </w:t>
            </w:r>
            <w:r w:rsidR="008A1C5E" w:rsidRPr="00C37340">
              <w:rPr>
                <w:rFonts w:ascii="Arial" w:hAnsi="Arial"/>
                <w:szCs w:val="24"/>
              </w:rPr>
              <w:fldChar w:fldCharType="end"/>
            </w:r>
          </w:p>
        </w:tc>
      </w:tr>
    </w:tbl>
    <w:p w:rsidR="00D75E5A" w:rsidRPr="00D8356D" w:rsidRDefault="00D75E5A" w:rsidP="00C4280C">
      <w:pPr>
        <w:jc w:val="center"/>
        <w:rPr>
          <w:rFonts w:ascii="Times New Roman" w:hAnsi="Times New Roman" w:cs="Times New Roman"/>
          <w:b/>
          <w:bCs/>
          <w:i/>
          <w:sz w:val="28"/>
          <w:szCs w:val="28"/>
        </w:rPr>
      </w:pPr>
    </w:p>
    <w:p w:rsidR="005567EB" w:rsidRPr="00D8356D" w:rsidRDefault="005567EB" w:rsidP="00C4280C">
      <w:pPr>
        <w:jc w:val="center"/>
        <w:rPr>
          <w:rFonts w:ascii="Times New Roman" w:hAnsi="Times New Roman" w:cs="Times New Roman"/>
          <w:b/>
          <w:bCs/>
          <w:i/>
          <w:sz w:val="28"/>
          <w:szCs w:val="28"/>
        </w:rPr>
      </w:pPr>
    </w:p>
    <w:p w:rsidR="001E09BC" w:rsidRPr="0024496C" w:rsidRDefault="001E09BC" w:rsidP="001E09BC">
      <w:pPr>
        <w:jc w:val="right"/>
        <w:rPr>
          <w:rFonts w:ascii="Times New Roman" w:hAnsi="Times New Roman"/>
          <w:bCs/>
          <w:i/>
          <w:sz w:val="28"/>
          <w:szCs w:val="28"/>
        </w:rPr>
      </w:pPr>
      <w:r w:rsidRPr="0024496C">
        <w:rPr>
          <w:rFonts w:ascii="Times New Roman" w:hAnsi="Times New Roman"/>
          <w:bCs/>
          <w:i/>
          <w:sz w:val="28"/>
          <w:szCs w:val="28"/>
        </w:rPr>
        <w:t xml:space="preserve">Issued: </w:t>
      </w:r>
      <w:r w:rsidR="00A871B3">
        <w:rPr>
          <w:rFonts w:ascii="Times New Roman" w:hAnsi="Times New Roman"/>
          <w:bCs/>
          <w:i/>
          <w:sz w:val="28"/>
          <w:szCs w:val="28"/>
        </w:rPr>
        <w:t>May</w:t>
      </w:r>
      <w:r w:rsidR="00097B85">
        <w:rPr>
          <w:rFonts w:ascii="Times New Roman" w:hAnsi="Times New Roman"/>
          <w:bCs/>
          <w:i/>
          <w:sz w:val="28"/>
          <w:szCs w:val="28"/>
        </w:rPr>
        <w:t xml:space="preserve"> </w:t>
      </w:r>
      <w:r w:rsidRPr="0024496C">
        <w:rPr>
          <w:rFonts w:ascii="Times New Roman" w:hAnsi="Times New Roman"/>
          <w:bCs/>
          <w:i/>
          <w:sz w:val="28"/>
          <w:szCs w:val="28"/>
        </w:rPr>
        <w:t>2013</w:t>
      </w:r>
    </w:p>
    <w:p w:rsidR="001E09BC" w:rsidRPr="004831A7" w:rsidRDefault="001E09BC" w:rsidP="001E09BC">
      <w:pPr>
        <w:spacing w:line="240" w:lineRule="auto"/>
        <w:jc w:val="right"/>
        <w:rPr>
          <w:rFonts w:ascii="Times New Roman" w:hAnsi="Times New Roman"/>
          <w:b/>
          <w:bCs/>
          <w:i/>
          <w:sz w:val="24"/>
          <w:szCs w:val="24"/>
        </w:rPr>
      </w:pPr>
      <w:r w:rsidRPr="004831A7">
        <w:rPr>
          <w:rFonts w:ascii="Times New Roman" w:hAnsi="Times New Roman"/>
          <w:b/>
          <w:bCs/>
          <w:i/>
          <w:sz w:val="24"/>
          <w:szCs w:val="24"/>
        </w:rPr>
        <w:t>Please return this form to:</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The Director </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Authorisation Unit</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Malta Financial Services Authority </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Notabile Road </w:t>
      </w:r>
    </w:p>
    <w:p w:rsidR="00C4280C" w:rsidRPr="00D8356D" w:rsidRDefault="001E09BC" w:rsidP="001E09BC">
      <w:pPr>
        <w:ind w:left="6480"/>
        <w:rPr>
          <w:rFonts w:ascii="Times New Roman" w:hAnsi="Times New Roman" w:cs="Times New Roman"/>
          <w:b/>
          <w:bCs/>
          <w:i/>
          <w:sz w:val="28"/>
          <w:szCs w:val="28"/>
        </w:rPr>
      </w:pPr>
      <w:r>
        <w:rPr>
          <w:rFonts w:cstheme="minorHAnsi"/>
          <w:b/>
          <w:bCs/>
          <w:sz w:val="24"/>
          <w:szCs w:val="24"/>
        </w:rPr>
        <w:t xml:space="preserve">   </w:t>
      </w:r>
      <w:r w:rsidRPr="0085704D">
        <w:rPr>
          <w:rFonts w:cstheme="minorHAnsi"/>
          <w:b/>
          <w:bCs/>
          <w:sz w:val="24"/>
          <w:szCs w:val="24"/>
        </w:rPr>
        <w:t>Attard BKR 3000, Malta</w:t>
      </w:r>
    </w:p>
    <w:p w:rsidR="00083012" w:rsidRPr="00D8356D" w:rsidRDefault="00D75E5A" w:rsidP="00C4280C">
      <w:pPr>
        <w:jc w:val="right"/>
        <w:rPr>
          <w:rFonts w:ascii="Times New Roman" w:hAnsi="Times New Roman" w:cs="Times New Roman"/>
          <w:b/>
          <w:i/>
        </w:rPr>
        <w:sectPr w:rsidR="00083012" w:rsidRPr="00D8356D">
          <w:footerReference w:type="default" r:id="rId10"/>
          <w:pgSz w:w="11906" w:h="16838"/>
          <w:pgMar w:top="1440" w:right="1440" w:bottom="1440" w:left="1440" w:header="708" w:footer="708" w:gutter="0"/>
          <w:cols w:space="708"/>
          <w:docGrid w:linePitch="360"/>
        </w:sectPr>
      </w:pPr>
      <w:r w:rsidRPr="00D8356D">
        <w:rPr>
          <w:rFonts w:ascii="Times New Roman" w:hAnsi="Times New Roman" w:cs="Times New Roman"/>
          <w:bCs/>
          <w:i/>
          <w:sz w:val="28"/>
          <w:szCs w:val="28"/>
        </w:rPr>
        <w:t xml:space="preserve"> </w:t>
      </w:r>
    </w:p>
    <w:p w:rsidR="008D1F42" w:rsidRPr="00844501" w:rsidRDefault="00E21DDA" w:rsidP="00844501">
      <w:pPr>
        <w:pStyle w:val="Heading1"/>
        <w:pBdr>
          <w:bottom w:val="single" w:sz="12" w:space="1" w:color="auto"/>
        </w:pBdr>
        <w:jc w:val="center"/>
        <w:rPr>
          <w:rFonts w:ascii="Times New Roman" w:hAnsi="Times New Roman" w:cs="Times New Roman"/>
          <w:color w:val="000000" w:themeColor="text1"/>
        </w:rPr>
      </w:pPr>
      <w:bookmarkStart w:id="1" w:name="_Toc347734552"/>
      <w:r>
        <w:rPr>
          <w:rFonts w:ascii="Times New Roman" w:hAnsi="Times New Roman" w:cs="Times New Roman"/>
          <w:color w:val="000000" w:themeColor="text1"/>
        </w:rPr>
        <w:lastRenderedPageBreak/>
        <w:t>Scope of the Self</w:t>
      </w:r>
      <w:r w:rsidR="00CC36FD" w:rsidRPr="00844501">
        <w:rPr>
          <w:rFonts w:ascii="Times New Roman" w:hAnsi="Times New Roman" w:cs="Times New Roman"/>
          <w:color w:val="000000" w:themeColor="text1"/>
        </w:rPr>
        <w:t>-Assessment</w:t>
      </w:r>
      <w:bookmarkEnd w:id="1"/>
    </w:p>
    <w:p w:rsidR="004F4181" w:rsidRDefault="004F4181">
      <w:pPr>
        <w:rPr>
          <w:rFonts w:ascii="Times New Roman" w:hAnsi="Times New Roman" w:cs="Times New Roman"/>
          <w:i/>
          <w:sz w:val="24"/>
          <w:szCs w:val="24"/>
        </w:rPr>
      </w:pPr>
    </w:p>
    <w:p w:rsidR="00BF70E7" w:rsidRPr="00AD15C3" w:rsidRDefault="00BF70E7"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A02B31" w:rsidRDefault="00320F11"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The transitional arrangements in terms of Article 61(1)</w:t>
      </w:r>
      <w:r w:rsidR="00700D7E" w:rsidRPr="00AD15C3">
        <w:rPr>
          <w:rFonts w:ascii="Times New Roman" w:hAnsi="Times New Roman" w:cs="Times New Roman"/>
          <w:sz w:val="24"/>
          <w:szCs w:val="24"/>
        </w:rPr>
        <w:t xml:space="preserve"> </w:t>
      </w:r>
      <w:r w:rsidR="00802278" w:rsidRPr="00AD15C3">
        <w:rPr>
          <w:rFonts w:ascii="Times New Roman" w:hAnsi="Times New Roman" w:cs="Times New Roman"/>
          <w:sz w:val="24"/>
          <w:szCs w:val="24"/>
        </w:rPr>
        <w:t xml:space="preserve">and (2) </w:t>
      </w:r>
      <w:r w:rsidR="00700D7E" w:rsidRPr="00AD15C3">
        <w:rPr>
          <w:rFonts w:ascii="Times New Roman" w:hAnsi="Times New Roman" w:cs="Times New Roman"/>
          <w:sz w:val="24"/>
          <w:szCs w:val="24"/>
        </w:rPr>
        <w:t xml:space="preserve">of the AIFM </w:t>
      </w:r>
      <w:hyperlink r:id="rId11" w:history="1">
        <w:r w:rsidR="001E09BC" w:rsidRPr="006934CA">
          <w:rPr>
            <w:rStyle w:val="Hyperlink"/>
            <w:rFonts w:ascii="Times New Roman" w:hAnsi="Times New Roman"/>
            <w:color w:val="auto"/>
            <w:sz w:val="24"/>
            <w:szCs w:val="24"/>
            <w:u w:val="none"/>
          </w:rPr>
          <w:t>Directive</w:t>
        </w:r>
      </w:hyperlink>
      <w:r w:rsidR="00FE53D8" w:rsidRPr="00AD15C3">
        <w:rPr>
          <w:rFonts w:ascii="Times New Roman" w:hAnsi="Times New Roman" w:cs="Times New Roman"/>
          <w:sz w:val="24"/>
          <w:szCs w:val="24"/>
        </w:rPr>
        <w:t xml:space="preserve"> </w:t>
      </w:r>
      <w:r w:rsidR="008B5B0D" w:rsidRPr="00AD15C3">
        <w:rPr>
          <w:rFonts w:ascii="Times New Roman" w:hAnsi="Times New Roman" w:cs="Times New Roman"/>
          <w:sz w:val="24"/>
          <w:szCs w:val="24"/>
        </w:rPr>
        <w:t>(</w:t>
      </w:r>
      <w:r w:rsidR="00545E37">
        <w:rPr>
          <w:rFonts w:ascii="Times New Roman" w:hAnsi="Times New Roman" w:cs="Times New Roman"/>
          <w:sz w:val="24"/>
          <w:szCs w:val="24"/>
        </w:rPr>
        <w:t xml:space="preserve">the </w:t>
      </w:r>
      <w:r w:rsidR="008B5B0D" w:rsidRPr="00AD15C3">
        <w:rPr>
          <w:rFonts w:ascii="Times New Roman" w:hAnsi="Times New Roman" w:cs="Times New Roman"/>
          <w:sz w:val="24"/>
          <w:szCs w:val="24"/>
        </w:rPr>
        <w:t xml:space="preserve">‘Directive’) </w:t>
      </w:r>
      <w:r w:rsidR="00097B85">
        <w:rPr>
          <w:rFonts w:ascii="Times New Roman" w:hAnsi="Times New Roman" w:cs="Times New Roman"/>
          <w:sz w:val="24"/>
          <w:szCs w:val="24"/>
        </w:rPr>
        <w:t>provide</w:t>
      </w:r>
      <w:r w:rsidR="00097B85" w:rsidRPr="00AD15C3">
        <w:rPr>
          <w:rFonts w:ascii="Times New Roman" w:hAnsi="Times New Roman" w:cs="Times New Roman"/>
          <w:sz w:val="24"/>
          <w:szCs w:val="24"/>
        </w:rPr>
        <w:t xml:space="preserve"> </w:t>
      </w:r>
      <w:r w:rsidR="001B7F62">
        <w:rPr>
          <w:rFonts w:ascii="Times New Roman" w:hAnsi="Times New Roman" w:cs="Times New Roman"/>
          <w:sz w:val="24"/>
          <w:szCs w:val="24"/>
        </w:rPr>
        <w:t>L</w:t>
      </w:r>
      <w:r w:rsidR="00FE53D8" w:rsidRPr="00AD15C3">
        <w:rPr>
          <w:rFonts w:ascii="Times New Roman" w:hAnsi="Times New Roman" w:cs="Times New Roman"/>
          <w:sz w:val="24"/>
          <w:szCs w:val="24"/>
        </w:rPr>
        <w:t xml:space="preserve">icence </w:t>
      </w:r>
      <w:r w:rsidR="001B7F62">
        <w:rPr>
          <w:rFonts w:ascii="Times New Roman" w:hAnsi="Times New Roman" w:cs="Times New Roman"/>
          <w:sz w:val="24"/>
          <w:szCs w:val="24"/>
        </w:rPr>
        <w:t>H</w:t>
      </w:r>
      <w:r w:rsidR="00FE53D8" w:rsidRPr="00AD15C3">
        <w:rPr>
          <w:rFonts w:ascii="Times New Roman" w:hAnsi="Times New Roman" w:cs="Times New Roman"/>
          <w:sz w:val="24"/>
          <w:szCs w:val="24"/>
        </w:rPr>
        <w:t xml:space="preserve">olders </w:t>
      </w:r>
      <w:r w:rsidR="00E70CF8" w:rsidRPr="00AD15C3">
        <w:rPr>
          <w:rFonts w:ascii="Times New Roman" w:hAnsi="Times New Roman" w:cs="Times New Roman"/>
          <w:sz w:val="24"/>
          <w:szCs w:val="24"/>
        </w:rPr>
        <w:t>already performing AIFM activities</w:t>
      </w:r>
      <w:r w:rsidR="00E928A4">
        <w:rPr>
          <w:rFonts w:ascii="Times New Roman" w:hAnsi="Times New Roman" w:cs="Times New Roman"/>
          <w:sz w:val="24"/>
          <w:szCs w:val="24"/>
        </w:rPr>
        <w:t xml:space="preserve"> with</w:t>
      </w:r>
      <w:r w:rsidR="00E70CF8" w:rsidRPr="00AD15C3">
        <w:rPr>
          <w:rFonts w:ascii="Times New Roman" w:hAnsi="Times New Roman" w:cs="Times New Roman"/>
          <w:sz w:val="24"/>
          <w:szCs w:val="24"/>
        </w:rPr>
        <w:t xml:space="preserve"> </w:t>
      </w:r>
      <w:r w:rsidR="00700D7E" w:rsidRPr="00AD15C3">
        <w:rPr>
          <w:rFonts w:ascii="Times New Roman" w:hAnsi="Times New Roman" w:cs="Times New Roman"/>
          <w:sz w:val="24"/>
          <w:szCs w:val="24"/>
        </w:rPr>
        <w:t>one</w:t>
      </w:r>
      <w:r w:rsidRPr="00AD15C3">
        <w:rPr>
          <w:rFonts w:ascii="Times New Roman" w:hAnsi="Times New Roman" w:cs="Times New Roman"/>
          <w:bCs/>
          <w:sz w:val="24"/>
          <w:szCs w:val="24"/>
        </w:rPr>
        <w:t xml:space="preserve"> year</w:t>
      </w:r>
      <w:r w:rsidR="00A02B31">
        <w:rPr>
          <w:rFonts w:ascii="Times New Roman" w:hAnsi="Times New Roman" w:cs="Times New Roman"/>
          <w:bCs/>
          <w:sz w:val="24"/>
          <w:szCs w:val="24"/>
        </w:rPr>
        <w:t>,</w:t>
      </w:r>
      <w:r w:rsidRPr="00AD15C3">
        <w:rPr>
          <w:rFonts w:ascii="Times New Roman" w:hAnsi="Times New Roman" w:cs="Times New Roman"/>
          <w:sz w:val="24"/>
          <w:szCs w:val="24"/>
        </w:rPr>
        <w:t xml:space="preserve"> from </w:t>
      </w:r>
      <w:r w:rsidR="00487748" w:rsidRPr="00AD15C3">
        <w:rPr>
          <w:rFonts w:ascii="Times New Roman" w:hAnsi="Times New Roman" w:cs="Times New Roman"/>
          <w:sz w:val="24"/>
          <w:szCs w:val="24"/>
        </w:rPr>
        <w:t>22</w:t>
      </w:r>
      <w:r w:rsidR="00487748">
        <w:rPr>
          <w:rFonts w:ascii="Times New Roman" w:hAnsi="Times New Roman" w:cs="Times New Roman"/>
          <w:sz w:val="24"/>
          <w:szCs w:val="24"/>
        </w:rPr>
        <w:t xml:space="preserve"> </w:t>
      </w:r>
      <w:r w:rsidR="00487748" w:rsidRPr="00AD15C3">
        <w:rPr>
          <w:rFonts w:ascii="Times New Roman" w:hAnsi="Times New Roman" w:cs="Times New Roman"/>
          <w:sz w:val="24"/>
          <w:szCs w:val="24"/>
        </w:rPr>
        <w:t>July</w:t>
      </w:r>
      <w:r w:rsidRPr="00AD15C3">
        <w:rPr>
          <w:rFonts w:ascii="Times New Roman" w:hAnsi="Times New Roman" w:cs="Times New Roman"/>
          <w:sz w:val="24"/>
          <w:szCs w:val="24"/>
        </w:rPr>
        <w:t xml:space="preserve"> 2013</w:t>
      </w:r>
      <w:r w:rsidR="00A02B31">
        <w:rPr>
          <w:rFonts w:ascii="Times New Roman" w:hAnsi="Times New Roman" w:cs="Times New Roman"/>
          <w:sz w:val="24"/>
          <w:szCs w:val="24"/>
        </w:rPr>
        <w:t>,</w:t>
      </w:r>
      <w:r w:rsidRPr="00AD15C3">
        <w:rPr>
          <w:rFonts w:ascii="Times New Roman" w:hAnsi="Times New Roman" w:cs="Times New Roman"/>
          <w:sz w:val="24"/>
          <w:szCs w:val="24"/>
        </w:rPr>
        <w:t xml:space="preserve"> to </w:t>
      </w:r>
      <w:r w:rsidR="00802278" w:rsidRPr="00AD15C3">
        <w:rPr>
          <w:rFonts w:ascii="Times New Roman" w:hAnsi="Times New Roman" w:cs="Times New Roman"/>
          <w:sz w:val="24"/>
          <w:szCs w:val="24"/>
        </w:rPr>
        <w:t>apply for authorisation and</w:t>
      </w:r>
      <w:r w:rsidR="00E928A4">
        <w:rPr>
          <w:rFonts w:ascii="Times New Roman" w:hAnsi="Times New Roman" w:cs="Times New Roman"/>
          <w:sz w:val="24"/>
          <w:szCs w:val="24"/>
        </w:rPr>
        <w:t xml:space="preserve"> to</w:t>
      </w:r>
      <w:r w:rsidR="00802278" w:rsidRPr="00AD15C3">
        <w:rPr>
          <w:rFonts w:ascii="Times New Roman" w:hAnsi="Times New Roman" w:cs="Times New Roman"/>
          <w:sz w:val="24"/>
          <w:szCs w:val="24"/>
        </w:rPr>
        <w:t xml:space="preserve"> </w:t>
      </w:r>
      <w:r w:rsidRPr="00AD15C3">
        <w:rPr>
          <w:rFonts w:ascii="Times New Roman" w:hAnsi="Times New Roman" w:cs="Times New Roman"/>
          <w:sz w:val="24"/>
          <w:szCs w:val="24"/>
        </w:rPr>
        <w:t>comply with the relevant laws and regulations</w:t>
      </w:r>
      <w:r w:rsidR="00700D7E" w:rsidRPr="00AD15C3">
        <w:rPr>
          <w:rFonts w:ascii="Times New Roman" w:hAnsi="Times New Roman" w:cs="Times New Roman"/>
          <w:sz w:val="24"/>
          <w:szCs w:val="24"/>
        </w:rPr>
        <w:t>.</w:t>
      </w:r>
      <w:r w:rsidR="00FE53D8" w:rsidRPr="00AD15C3">
        <w:rPr>
          <w:rFonts w:ascii="Times New Roman" w:hAnsi="Times New Roman" w:cs="Times New Roman"/>
          <w:sz w:val="24"/>
          <w:szCs w:val="24"/>
        </w:rPr>
        <w:t xml:space="preserve">  </w:t>
      </w:r>
    </w:p>
    <w:p w:rsidR="000D6B69" w:rsidRDefault="00E832D0"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An</w:t>
      </w:r>
      <w:r w:rsidR="00141138" w:rsidRPr="00DA67AB">
        <w:rPr>
          <w:rFonts w:ascii="Times New Roman" w:hAnsi="Times New Roman" w:cs="Times New Roman"/>
          <w:sz w:val="24"/>
          <w:szCs w:val="24"/>
        </w:rPr>
        <w:t xml:space="preserve"> </w:t>
      </w:r>
      <w:r w:rsidR="00AD15C3" w:rsidRPr="00DA67AB">
        <w:rPr>
          <w:rFonts w:ascii="Times New Roman" w:hAnsi="Times New Roman" w:cs="Times New Roman"/>
          <w:sz w:val="24"/>
          <w:szCs w:val="24"/>
        </w:rPr>
        <w:t>AIFM</w:t>
      </w:r>
      <w:r>
        <w:rPr>
          <w:rFonts w:ascii="Times New Roman" w:hAnsi="Times New Roman" w:cs="Times New Roman"/>
          <w:sz w:val="24"/>
          <w:szCs w:val="24"/>
        </w:rPr>
        <w:t>’</w:t>
      </w:r>
      <w:r w:rsidR="00AD15C3" w:rsidRPr="00DA67AB">
        <w:rPr>
          <w:rFonts w:ascii="Times New Roman" w:hAnsi="Times New Roman" w:cs="Times New Roman"/>
          <w:sz w:val="24"/>
          <w:szCs w:val="24"/>
        </w:rPr>
        <w:t xml:space="preserve">s </w:t>
      </w:r>
      <w:r w:rsidR="0034682C">
        <w:rPr>
          <w:rFonts w:ascii="Times New Roman" w:hAnsi="Times New Roman" w:cs="Times New Roman"/>
          <w:sz w:val="24"/>
          <w:szCs w:val="24"/>
        </w:rPr>
        <w:t xml:space="preserve">obligation to seek </w:t>
      </w:r>
      <w:r w:rsidR="00141138" w:rsidRPr="00DA67AB">
        <w:rPr>
          <w:rFonts w:ascii="Times New Roman" w:hAnsi="Times New Roman" w:cs="Times New Roman"/>
          <w:sz w:val="24"/>
          <w:szCs w:val="24"/>
        </w:rPr>
        <w:t>authorisation (</w:t>
      </w:r>
      <w:r w:rsidR="00AD15C3" w:rsidRPr="00DA67AB">
        <w:rPr>
          <w:rFonts w:ascii="Times New Roman" w:hAnsi="Times New Roman" w:cs="Times New Roman"/>
          <w:sz w:val="24"/>
          <w:szCs w:val="24"/>
        </w:rPr>
        <w:t>Chapter II</w:t>
      </w:r>
      <w:r w:rsidR="00141138" w:rsidRPr="00DA67AB">
        <w:rPr>
          <w:rFonts w:ascii="Times New Roman" w:hAnsi="Times New Roman" w:cs="Times New Roman"/>
          <w:sz w:val="24"/>
          <w:szCs w:val="24"/>
        </w:rPr>
        <w:t xml:space="preserve"> and Chapters VI, VII</w:t>
      </w:r>
      <w:r w:rsidR="00AD15C3" w:rsidRPr="00DA67AB">
        <w:rPr>
          <w:rFonts w:ascii="Times New Roman" w:hAnsi="Times New Roman" w:cs="Times New Roman"/>
          <w:sz w:val="24"/>
          <w:szCs w:val="24"/>
        </w:rPr>
        <w:t xml:space="preserve"> of the Directive</w:t>
      </w:r>
      <w:r w:rsidR="00141138" w:rsidRPr="00DA67AB">
        <w:rPr>
          <w:rFonts w:ascii="Times New Roman" w:hAnsi="Times New Roman" w:cs="Times New Roman"/>
          <w:sz w:val="24"/>
          <w:szCs w:val="24"/>
        </w:rPr>
        <w:t xml:space="preserve">) is legally binding </w:t>
      </w:r>
      <w:r w:rsidR="00DA67AB" w:rsidRPr="00B3631C">
        <w:rPr>
          <w:rFonts w:ascii="Times New Roman" w:hAnsi="Times New Roman" w:cs="Times New Roman"/>
          <w:sz w:val="24"/>
          <w:szCs w:val="24"/>
        </w:rPr>
        <w:t>and</w:t>
      </w:r>
      <w:r w:rsidR="00141138" w:rsidRPr="00DA67AB">
        <w:rPr>
          <w:rFonts w:ascii="Times New Roman" w:hAnsi="Times New Roman" w:cs="Times New Roman"/>
          <w:sz w:val="24"/>
          <w:szCs w:val="24"/>
        </w:rPr>
        <w:t xml:space="preserve"> needs to be complied with within a year of the entry into force of the Directive</w:t>
      </w:r>
      <w:r w:rsidR="00487748">
        <w:rPr>
          <w:rFonts w:ascii="Times New Roman" w:hAnsi="Times New Roman" w:cs="Times New Roman"/>
          <w:sz w:val="24"/>
          <w:szCs w:val="24"/>
        </w:rPr>
        <w:t xml:space="preserve"> i.e. by 22 July 2014</w:t>
      </w:r>
      <w:r w:rsidR="00141138" w:rsidRPr="00DA67AB">
        <w:rPr>
          <w:rFonts w:ascii="Times New Roman" w:hAnsi="Times New Roman" w:cs="Times New Roman"/>
          <w:sz w:val="24"/>
          <w:szCs w:val="24"/>
        </w:rPr>
        <w:t xml:space="preserve">.  </w:t>
      </w:r>
    </w:p>
    <w:p w:rsidR="008446FA" w:rsidRPr="00AD15C3" w:rsidRDefault="00141138"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8446FA">
        <w:rPr>
          <w:rFonts w:ascii="Times New Roman" w:hAnsi="Times New Roman" w:cs="Times New Roman"/>
          <w:sz w:val="24"/>
          <w:szCs w:val="24"/>
        </w:rPr>
        <w:t xml:space="preserve">In respect of </w:t>
      </w:r>
      <w:r w:rsidR="00DA67AB" w:rsidRPr="00B3631C">
        <w:rPr>
          <w:rFonts w:ascii="Times New Roman" w:hAnsi="Times New Roman" w:cs="Times New Roman"/>
          <w:sz w:val="24"/>
          <w:szCs w:val="24"/>
        </w:rPr>
        <w:t>certain</w:t>
      </w:r>
      <w:r w:rsidR="00DA67AB" w:rsidRPr="008446FA">
        <w:rPr>
          <w:rFonts w:ascii="Times New Roman" w:hAnsi="Times New Roman" w:cs="Times New Roman"/>
          <w:sz w:val="24"/>
          <w:szCs w:val="24"/>
        </w:rPr>
        <w:t xml:space="preserve"> </w:t>
      </w:r>
      <w:r w:rsidRPr="008446FA">
        <w:rPr>
          <w:rFonts w:ascii="Times New Roman" w:hAnsi="Times New Roman" w:cs="Times New Roman"/>
          <w:sz w:val="24"/>
          <w:szCs w:val="24"/>
        </w:rPr>
        <w:t xml:space="preserve">requirements contained in the Directive, </w:t>
      </w:r>
      <w:r w:rsidR="008446FA" w:rsidRPr="00B3631C">
        <w:rPr>
          <w:rFonts w:ascii="Times New Roman" w:hAnsi="Times New Roman" w:cs="Times New Roman"/>
          <w:sz w:val="24"/>
          <w:szCs w:val="24"/>
        </w:rPr>
        <w:t xml:space="preserve">a </w:t>
      </w:r>
      <w:r w:rsidR="001B7F62">
        <w:rPr>
          <w:rFonts w:ascii="Times New Roman" w:hAnsi="Times New Roman" w:cs="Times New Roman"/>
          <w:sz w:val="24"/>
          <w:szCs w:val="24"/>
        </w:rPr>
        <w:t>L</w:t>
      </w:r>
      <w:r w:rsidR="008446FA" w:rsidRPr="00B3631C">
        <w:rPr>
          <w:rFonts w:ascii="Times New Roman" w:hAnsi="Times New Roman" w:cs="Times New Roman"/>
          <w:sz w:val="24"/>
          <w:szCs w:val="24"/>
        </w:rPr>
        <w:t xml:space="preserve">icence </w:t>
      </w:r>
      <w:r w:rsidR="001B7F62">
        <w:rPr>
          <w:rFonts w:ascii="Times New Roman" w:hAnsi="Times New Roman" w:cs="Times New Roman"/>
          <w:sz w:val="24"/>
          <w:szCs w:val="24"/>
        </w:rPr>
        <w:t>H</w:t>
      </w:r>
      <w:r w:rsidR="008446FA" w:rsidRPr="00B3631C">
        <w:rPr>
          <w:rFonts w:ascii="Times New Roman" w:hAnsi="Times New Roman" w:cs="Times New Roman"/>
          <w:sz w:val="24"/>
          <w:szCs w:val="24"/>
        </w:rPr>
        <w:t>older qualifying as</w:t>
      </w:r>
      <w:r w:rsidR="00A02017">
        <w:rPr>
          <w:rFonts w:ascii="Times New Roman" w:hAnsi="Times New Roman" w:cs="Times New Roman"/>
          <w:sz w:val="24"/>
          <w:szCs w:val="24"/>
        </w:rPr>
        <w:t xml:space="preserve"> an</w:t>
      </w:r>
      <w:r w:rsidR="008446FA" w:rsidRPr="00B3631C">
        <w:rPr>
          <w:rFonts w:ascii="Times New Roman" w:hAnsi="Times New Roman" w:cs="Times New Roman"/>
          <w:sz w:val="24"/>
          <w:szCs w:val="24"/>
        </w:rPr>
        <w:t xml:space="preserve"> AIFM is nevertheless required</w:t>
      </w:r>
      <w:r w:rsidRPr="008446FA">
        <w:rPr>
          <w:rFonts w:ascii="Times New Roman" w:hAnsi="Times New Roman" w:cs="Times New Roman"/>
          <w:sz w:val="24"/>
          <w:szCs w:val="24"/>
        </w:rPr>
        <w:t xml:space="preserve"> </w:t>
      </w:r>
      <w:r w:rsidR="008446FA" w:rsidRPr="00B3631C">
        <w:rPr>
          <w:rFonts w:ascii="Times New Roman" w:hAnsi="Times New Roman" w:cs="Times New Roman"/>
          <w:sz w:val="24"/>
          <w:szCs w:val="24"/>
        </w:rPr>
        <w:t>to</w:t>
      </w:r>
      <w:r w:rsidRPr="008446FA">
        <w:rPr>
          <w:rFonts w:ascii="Times New Roman" w:hAnsi="Times New Roman" w:cs="Times New Roman"/>
          <w:sz w:val="24"/>
          <w:szCs w:val="24"/>
        </w:rPr>
        <w:t xml:space="preserve"> take all necessary measures </w:t>
      </w:r>
      <w:r w:rsidR="008446FA">
        <w:rPr>
          <w:rFonts w:ascii="Times New Roman" w:hAnsi="Times New Roman" w:cs="Times New Roman"/>
          <w:sz w:val="24"/>
          <w:szCs w:val="24"/>
        </w:rPr>
        <w:t xml:space="preserve">on a best effort basis </w:t>
      </w:r>
      <w:r w:rsidRPr="008446FA">
        <w:rPr>
          <w:rFonts w:ascii="Times New Roman" w:hAnsi="Times New Roman" w:cs="Times New Roman"/>
          <w:sz w:val="24"/>
          <w:szCs w:val="24"/>
        </w:rPr>
        <w:t xml:space="preserve">to comply with the </w:t>
      </w:r>
      <w:r w:rsidR="00487748">
        <w:rPr>
          <w:rFonts w:ascii="Times New Roman" w:hAnsi="Times New Roman" w:cs="Times New Roman"/>
          <w:sz w:val="24"/>
          <w:szCs w:val="24"/>
        </w:rPr>
        <w:t xml:space="preserve">provisions of the </w:t>
      </w:r>
      <w:r w:rsidRPr="008446FA">
        <w:rPr>
          <w:rFonts w:ascii="Times New Roman" w:hAnsi="Times New Roman" w:cs="Times New Roman"/>
          <w:sz w:val="24"/>
          <w:szCs w:val="24"/>
        </w:rPr>
        <w:t xml:space="preserve">Directive </w:t>
      </w:r>
      <w:r w:rsidR="00487748">
        <w:rPr>
          <w:rFonts w:ascii="Times New Roman" w:hAnsi="Times New Roman" w:cs="Times New Roman"/>
          <w:sz w:val="24"/>
          <w:szCs w:val="24"/>
        </w:rPr>
        <w:t xml:space="preserve">as </w:t>
      </w:r>
      <w:r w:rsidR="008446FA" w:rsidRPr="00B3631C">
        <w:rPr>
          <w:rFonts w:ascii="Times New Roman" w:hAnsi="Times New Roman" w:cs="Times New Roman"/>
          <w:sz w:val="24"/>
          <w:szCs w:val="24"/>
        </w:rPr>
        <w:t>from the date of coming</w:t>
      </w:r>
      <w:r w:rsidRPr="008446FA">
        <w:rPr>
          <w:rFonts w:ascii="Times New Roman" w:hAnsi="Times New Roman" w:cs="Times New Roman"/>
          <w:sz w:val="24"/>
          <w:szCs w:val="24"/>
        </w:rPr>
        <w:t xml:space="preserve"> into force</w:t>
      </w:r>
      <w:r w:rsidR="00A02017">
        <w:rPr>
          <w:rFonts w:ascii="Times New Roman" w:hAnsi="Times New Roman" w:cs="Times New Roman"/>
          <w:sz w:val="24"/>
          <w:szCs w:val="24"/>
        </w:rPr>
        <w:t>,</w:t>
      </w:r>
      <w:r w:rsidRPr="008446FA">
        <w:rPr>
          <w:rFonts w:ascii="Times New Roman" w:hAnsi="Times New Roman" w:cs="Times New Roman"/>
          <w:sz w:val="24"/>
          <w:szCs w:val="24"/>
        </w:rPr>
        <w:t xml:space="preserve"> </w:t>
      </w:r>
      <w:r w:rsidR="008446FA" w:rsidRPr="00B3631C">
        <w:rPr>
          <w:rFonts w:ascii="Times New Roman" w:hAnsi="Times New Roman" w:cs="Times New Roman"/>
          <w:sz w:val="24"/>
          <w:szCs w:val="24"/>
        </w:rPr>
        <w:t>irrespective of the transitional period</w:t>
      </w:r>
      <w:r w:rsidRPr="008446FA">
        <w:rPr>
          <w:rFonts w:ascii="Times New Roman" w:hAnsi="Times New Roman" w:cs="Times New Roman"/>
          <w:sz w:val="24"/>
          <w:szCs w:val="24"/>
        </w:rPr>
        <w:t>.  After the transitional period, all the obligations arising under the Directive are legally binding.</w:t>
      </w:r>
      <w:r w:rsidRPr="00AD15C3">
        <w:rPr>
          <w:rFonts w:ascii="Times New Roman" w:hAnsi="Times New Roman" w:cs="Times New Roman"/>
          <w:sz w:val="24"/>
          <w:szCs w:val="24"/>
        </w:rPr>
        <w:t xml:space="preserve">  </w:t>
      </w:r>
      <w:r w:rsidR="008446FA">
        <w:rPr>
          <w:rFonts w:ascii="Times New Roman" w:hAnsi="Times New Roman" w:cs="Times New Roman"/>
          <w:sz w:val="24"/>
          <w:szCs w:val="24"/>
        </w:rPr>
        <w:t>It should be noted</w:t>
      </w:r>
      <w:r w:rsidR="008446FA" w:rsidRPr="00AD15C3">
        <w:rPr>
          <w:rFonts w:ascii="Times New Roman" w:hAnsi="Times New Roman" w:cs="Times New Roman"/>
          <w:sz w:val="24"/>
          <w:szCs w:val="24"/>
        </w:rPr>
        <w:t xml:space="preserve"> that </w:t>
      </w:r>
      <w:r w:rsidR="008446FA" w:rsidRPr="00B3631C">
        <w:rPr>
          <w:rFonts w:ascii="Times New Roman" w:hAnsi="Times New Roman" w:cs="Times New Roman"/>
          <w:sz w:val="24"/>
          <w:szCs w:val="24"/>
        </w:rPr>
        <w:t>compliance with, for example, reporting obligations does not depend on having obtained an authorisation by the MFSA and no specific transitional requirements apply</w:t>
      </w:r>
      <w:r w:rsidR="008446FA" w:rsidRPr="00AD15C3">
        <w:rPr>
          <w:rFonts w:ascii="Times New Roman" w:hAnsi="Times New Roman" w:cs="Times New Roman"/>
          <w:sz w:val="24"/>
          <w:szCs w:val="24"/>
        </w:rPr>
        <w:t xml:space="preserve">. Accordingly, existing </w:t>
      </w:r>
      <w:r w:rsidR="00A02B31">
        <w:rPr>
          <w:rFonts w:ascii="Times New Roman" w:hAnsi="Times New Roman" w:cs="Times New Roman"/>
          <w:sz w:val="24"/>
          <w:szCs w:val="24"/>
        </w:rPr>
        <w:t xml:space="preserve">licence holders which qualify as </w:t>
      </w:r>
      <w:r w:rsidR="008446FA" w:rsidRPr="00AD15C3">
        <w:rPr>
          <w:rFonts w:ascii="Times New Roman" w:hAnsi="Times New Roman" w:cs="Times New Roman"/>
          <w:sz w:val="24"/>
          <w:szCs w:val="24"/>
        </w:rPr>
        <w:t xml:space="preserve">AIFMs </w:t>
      </w:r>
      <w:r w:rsidR="008446FA" w:rsidRPr="00B3631C">
        <w:rPr>
          <w:rFonts w:ascii="Times New Roman" w:hAnsi="Times New Roman" w:cs="Times New Roman"/>
          <w:sz w:val="24"/>
          <w:szCs w:val="24"/>
        </w:rPr>
        <w:t>(</w:t>
      </w:r>
      <w:r w:rsidR="00A02B31" w:rsidRPr="00B3631C">
        <w:rPr>
          <w:rFonts w:ascii="Times New Roman" w:hAnsi="Times New Roman" w:cs="Times New Roman"/>
          <w:sz w:val="24"/>
          <w:szCs w:val="24"/>
        </w:rPr>
        <w:t>including</w:t>
      </w:r>
      <w:r w:rsidR="008446FA" w:rsidRPr="00B3631C">
        <w:rPr>
          <w:rFonts w:ascii="Times New Roman" w:hAnsi="Times New Roman" w:cs="Times New Roman"/>
          <w:sz w:val="24"/>
          <w:szCs w:val="24"/>
        </w:rPr>
        <w:t xml:space="preserve"> </w:t>
      </w:r>
      <w:r w:rsidR="008446FA" w:rsidRPr="009A0440">
        <w:rPr>
          <w:rFonts w:ascii="Times New Roman" w:hAnsi="Times New Roman" w:cs="Times New Roman"/>
          <w:i/>
          <w:sz w:val="24"/>
          <w:szCs w:val="24"/>
        </w:rPr>
        <w:t>de minimis</w:t>
      </w:r>
      <w:r w:rsidR="008446FA" w:rsidRPr="00B3631C">
        <w:rPr>
          <w:rFonts w:ascii="Times New Roman" w:hAnsi="Times New Roman" w:cs="Times New Roman"/>
          <w:sz w:val="24"/>
          <w:szCs w:val="24"/>
        </w:rPr>
        <w:t xml:space="preserve"> AIFMs</w:t>
      </w:r>
      <w:r w:rsidR="008446FA" w:rsidRPr="00AD15C3">
        <w:rPr>
          <w:rFonts w:ascii="Times New Roman" w:hAnsi="Times New Roman" w:cs="Times New Roman"/>
          <w:sz w:val="24"/>
          <w:szCs w:val="24"/>
        </w:rPr>
        <w:t xml:space="preserve">) </w:t>
      </w:r>
      <w:r w:rsidR="00A02B31">
        <w:rPr>
          <w:rFonts w:ascii="Times New Roman" w:hAnsi="Times New Roman" w:cs="Times New Roman"/>
          <w:sz w:val="24"/>
          <w:szCs w:val="24"/>
        </w:rPr>
        <w:t>are</w:t>
      </w:r>
      <w:r w:rsidR="008446FA" w:rsidRPr="00AD15C3">
        <w:rPr>
          <w:rFonts w:ascii="Times New Roman" w:hAnsi="Times New Roman" w:cs="Times New Roman"/>
          <w:sz w:val="24"/>
          <w:szCs w:val="24"/>
        </w:rPr>
        <w:t xml:space="preserve"> to ensure compliance </w:t>
      </w:r>
      <w:r w:rsidR="008446FA">
        <w:rPr>
          <w:rFonts w:ascii="Times New Roman" w:hAnsi="Times New Roman" w:cs="Times New Roman"/>
          <w:sz w:val="24"/>
          <w:szCs w:val="24"/>
        </w:rPr>
        <w:t>with</w:t>
      </w:r>
      <w:r w:rsidR="008446FA" w:rsidRPr="00AD15C3">
        <w:rPr>
          <w:rFonts w:ascii="Times New Roman" w:hAnsi="Times New Roman" w:cs="Times New Roman"/>
          <w:sz w:val="24"/>
          <w:szCs w:val="24"/>
        </w:rPr>
        <w:t xml:space="preserve"> certain requirements </w:t>
      </w:r>
      <w:r w:rsidR="00487748">
        <w:rPr>
          <w:rFonts w:ascii="Times New Roman" w:hAnsi="Times New Roman" w:cs="Times New Roman"/>
          <w:sz w:val="24"/>
          <w:szCs w:val="24"/>
        </w:rPr>
        <w:t xml:space="preserve">with effect from </w:t>
      </w:r>
      <w:r w:rsidR="008446FA" w:rsidRPr="00AD15C3">
        <w:rPr>
          <w:rFonts w:ascii="Times New Roman" w:hAnsi="Times New Roman" w:cs="Times New Roman"/>
          <w:sz w:val="24"/>
          <w:szCs w:val="24"/>
        </w:rPr>
        <w:t xml:space="preserve">the date of the application of the Directive.  </w:t>
      </w:r>
    </w:p>
    <w:p w:rsidR="004F44C9" w:rsidRPr="00AD15C3" w:rsidRDefault="002B45B6"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 xml:space="preserve">This questionnaire </w:t>
      </w:r>
      <w:r w:rsidR="00700D7E" w:rsidRPr="00AD15C3">
        <w:rPr>
          <w:rFonts w:ascii="Times New Roman" w:hAnsi="Times New Roman" w:cs="Times New Roman"/>
          <w:sz w:val="24"/>
          <w:szCs w:val="24"/>
        </w:rPr>
        <w:t xml:space="preserve">applies </w:t>
      </w:r>
      <w:r w:rsidR="007532CF" w:rsidRPr="00AD15C3">
        <w:rPr>
          <w:rFonts w:ascii="Times New Roman" w:hAnsi="Times New Roman" w:cs="Times New Roman"/>
          <w:sz w:val="24"/>
          <w:szCs w:val="24"/>
        </w:rPr>
        <w:t>to</w:t>
      </w:r>
      <w:r w:rsidR="008C7436" w:rsidRPr="00AD15C3">
        <w:rPr>
          <w:rFonts w:ascii="Times New Roman" w:hAnsi="Times New Roman" w:cs="Times New Roman"/>
          <w:sz w:val="24"/>
          <w:szCs w:val="24"/>
        </w:rPr>
        <w:t xml:space="preserve"> </w:t>
      </w:r>
      <w:r w:rsidR="00A02B31">
        <w:rPr>
          <w:rFonts w:ascii="Times New Roman" w:hAnsi="Times New Roman" w:cs="Times New Roman"/>
          <w:sz w:val="24"/>
          <w:szCs w:val="24"/>
        </w:rPr>
        <w:t xml:space="preserve">entities </w:t>
      </w:r>
      <w:r w:rsidR="004F44C9" w:rsidRPr="00AD15C3">
        <w:rPr>
          <w:rFonts w:ascii="Times New Roman" w:hAnsi="Times New Roman" w:cs="Times New Roman"/>
          <w:sz w:val="24"/>
          <w:szCs w:val="24"/>
        </w:rPr>
        <w:t xml:space="preserve">licensed </w:t>
      </w:r>
      <w:r w:rsidR="004D767D">
        <w:rPr>
          <w:rFonts w:ascii="Times New Roman" w:hAnsi="Times New Roman" w:cs="Times New Roman"/>
          <w:sz w:val="24"/>
          <w:szCs w:val="24"/>
        </w:rPr>
        <w:t xml:space="preserve">under the Investment Services Act, 1994 </w:t>
      </w:r>
      <w:r w:rsidR="004F44C9" w:rsidRPr="00AD15C3">
        <w:rPr>
          <w:rFonts w:ascii="Times New Roman" w:hAnsi="Times New Roman" w:cs="Times New Roman"/>
          <w:sz w:val="24"/>
          <w:szCs w:val="24"/>
        </w:rPr>
        <w:t xml:space="preserve">prior to 22 July 2013 </w:t>
      </w:r>
      <w:r w:rsidR="009360F3">
        <w:rPr>
          <w:rFonts w:ascii="Times New Roman" w:hAnsi="Times New Roman" w:cs="Times New Roman"/>
          <w:sz w:val="24"/>
          <w:szCs w:val="24"/>
        </w:rPr>
        <w:t xml:space="preserve">which </w:t>
      </w:r>
      <w:proofErr w:type="gramStart"/>
      <w:r w:rsidR="009360F3">
        <w:rPr>
          <w:rFonts w:ascii="Times New Roman" w:hAnsi="Times New Roman" w:cs="Times New Roman"/>
          <w:sz w:val="24"/>
          <w:szCs w:val="24"/>
        </w:rPr>
        <w:t>are</w:t>
      </w:r>
      <w:proofErr w:type="gramEnd"/>
      <w:r w:rsidR="009360F3">
        <w:rPr>
          <w:rFonts w:ascii="Times New Roman" w:hAnsi="Times New Roman" w:cs="Times New Roman"/>
          <w:sz w:val="24"/>
          <w:szCs w:val="24"/>
        </w:rPr>
        <w:t xml:space="preserve"> applying with the MFSA to act as</w:t>
      </w:r>
      <w:r w:rsidR="00013D2B">
        <w:rPr>
          <w:rFonts w:ascii="Times New Roman" w:hAnsi="Times New Roman" w:cs="Times New Roman"/>
          <w:sz w:val="24"/>
          <w:szCs w:val="24"/>
        </w:rPr>
        <w:t xml:space="preserve"> an</w:t>
      </w:r>
      <w:r w:rsidR="009360F3">
        <w:rPr>
          <w:rFonts w:ascii="Times New Roman" w:hAnsi="Times New Roman" w:cs="Times New Roman"/>
          <w:sz w:val="24"/>
          <w:szCs w:val="24"/>
        </w:rPr>
        <w:t xml:space="preserve"> AIFM</w:t>
      </w:r>
      <w:r w:rsidR="005A314C" w:rsidRPr="00AD15C3">
        <w:rPr>
          <w:rFonts w:ascii="Times New Roman" w:hAnsi="Times New Roman" w:cs="Times New Roman"/>
          <w:sz w:val="24"/>
          <w:szCs w:val="24"/>
        </w:rPr>
        <w:t xml:space="preserve">. </w:t>
      </w:r>
      <w:r w:rsidR="00802278" w:rsidRPr="00AD15C3">
        <w:rPr>
          <w:rFonts w:ascii="Times New Roman" w:hAnsi="Times New Roman" w:cs="Times New Roman"/>
          <w:sz w:val="24"/>
          <w:szCs w:val="24"/>
        </w:rPr>
        <w:t xml:space="preserve"> </w:t>
      </w:r>
    </w:p>
    <w:p w:rsidR="00487748" w:rsidRDefault="004F44C9"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This</w:t>
      </w:r>
      <w:r w:rsidR="005A314C" w:rsidRPr="00AD15C3">
        <w:rPr>
          <w:rFonts w:ascii="Times New Roman" w:hAnsi="Times New Roman" w:cs="Times New Roman"/>
          <w:sz w:val="24"/>
          <w:szCs w:val="24"/>
        </w:rPr>
        <w:t xml:space="preserve"> document applies to AIFMs </w:t>
      </w:r>
      <w:r w:rsidR="00952CB6" w:rsidRPr="00AD15C3">
        <w:rPr>
          <w:rFonts w:ascii="Times New Roman" w:hAnsi="Times New Roman" w:cs="Times New Roman"/>
          <w:sz w:val="24"/>
          <w:szCs w:val="24"/>
        </w:rPr>
        <w:t>wh</w:t>
      </w:r>
      <w:r w:rsidR="00714980">
        <w:rPr>
          <w:rFonts w:ascii="Times New Roman" w:hAnsi="Times New Roman" w:cs="Times New Roman"/>
          <w:sz w:val="24"/>
          <w:szCs w:val="24"/>
        </w:rPr>
        <w:t>ich</w:t>
      </w:r>
      <w:r w:rsidR="00952CB6" w:rsidRPr="00AD15C3">
        <w:rPr>
          <w:rFonts w:ascii="Times New Roman" w:hAnsi="Times New Roman" w:cs="Times New Roman"/>
          <w:sz w:val="24"/>
          <w:szCs w:val="24"/>
        </w:rPr>
        <w:t xml:space="preserve"> are external managers of </w:t>
      </w:r>
      <w:r w:rsidR="00A02B31" w:rsidRPr="00B3631C">
        <w:rPr>
          <w:rFonts w:ascii="Times New Roman" w:hAnsi="Times New Roman" w:cs="Times New Roman"/>
          <w:sz w:val="24"/>
          <w:szCs w:val="24"/>
        </w:rPr>
        <w:t>Alternative Investment Funds (‘AIFs’) (defined as collective investment undertakings excluding UCITS)</w:t>
      </w:r>
      <w:r w:rsidR="00A02B31">
        <w:rPr>
          <w:rFonts w:ascii="Times New Roman" w:hAnsi="Times New Roman" w:cs="Times New Roman"/>
          <w:sz w:val="24"/>
          <w:szCs w:val="24"/>
        </w:rPr>
        <w:t xml:space="preserve"> </w:t>
      </w:r>
      <w:r w:rsidR="00952CB6" w:rsidRPr="00AD15C3">
        <w:rPr>
          <w:rFonts w:ascii="Times New Roman" w:hAnsi="Times New Roman" w:cs="Times New Roman"/>
          <w:sz w:val="24"/>
          <w:szCs w:val="24"/>
        </w:rPr>
        <w:t>and to internally managed AIFs</w:t>
      </w:r>
      <w:r w:rsidRPr="00AD15C3">
        <w:rPr>
          <w:rFonts w:ascii="Times New Roman" w:hAnsi="Times New Roman" w:cs="Times New Roman"/>
          <w:sz w:val="24"/>
          <w:szCs w:val="24"/>
        </w:rPr>
        <w:t xml:space="preserve"> (</w:t>
      </w:r>
      <w:r w:rsidR="00952CB6" w:rsidRPr="00AD15C3">
        <w:rPr>
          <w:rFonts w:ascii="Times New Roman" w:hAnsi="Times New Roman" w:cs="Times New Roman"/>
          <w:sz w:val="24"/>
          <w:szCs w:val="24"/>
        </w:rPr>
        <w:t>where the governing body chooses not to appoint an external AIFM and the legal form of the AIF permits internal management</w:t>
      </w:r>
      <w:r w:rsidRPr="00AD15C3">
        <w:rPr>
          <w:rFonts w:ascii="Times New Roman" w:hAnsi="Times New Roman" w:cs="Times New Roman"/>
          <w:sz w:val="24"/>
          <w:szCs w:val="24"/>
        </w:rPr>
        <w:t>)</w:t>
      </w:r>
      <w:r w:rsidR="00487748">
        <w:rPr>
          <w:rFonts w:ascii="Times New Roman" w:hAnsi="Times New Roman" w:cs="Times New Roman"/>
          <w:sz w:val="24"/>
          <w:szCs w:val="24"/>
        </w:rPr>
        <w:t>. A</w:t>
      </w:r>
      <w:r w:rsidR="00767B48" w:rsidRPr="00AD15C3">
        <w:rPr>
          <w:rFonts w:ascii="Times New Roman" w:hAnsi="Times New Roman" w:cs="Times New Roman"/>
          <w:sz w:val="24"/>
          <w:szCs w:val="24"/>
        </w:rPr>
        <w:t xml:space="preserve">ccordingly, </w:t>
      </w:r>
      <w:r w:rsidR="00487748" w:rsidRPr="00AD15C3">
        <w:rPr>
          <w:rFonts w:ascii="Times New Roman" w:hAnsi="Times New Roman" w:cs="Times New Roman"/>
          <w:sz w:val="24"/>
          <w:szCs w:val="24"/>
        </w:rPr>
        <w:t>unless expressly stated otherwise</w:t>
      </w:r>
      <w:r w:rsidR="00487748">
        <w:rPr>
          <w:rFonts w:ascii="Times New Roman" w:hAnsi="Times New Roman" w:cs="Times New Roman"/>
          <w:sz w:val="24"/>
          <w:szCs w:val="24"/>
        </w:rPr>
        <w:t>,</w:t>
      </w:r>
      <w:r w:rsidR="00487748" w:rsidRPr="00AD15C3">
        <w:rPr>
          <w:rFonts w:ascii="Times New Roman" w:hAnsi="Times New Roman" w:cs="Times New Roman"/>
          <w:sz w:val="24"/>
          <w:szCs w:val="24"/>
        </w:rPr>
        <w:t xml:space="preserve"> for the purpose of this document</w:t>
      </w:r>
      <w:r w:rsidR="00487748">
        <w:rPr>
          <w:rFonts w:ascii="Times New Roman" w:hAnsi="Times New Roman" w:cs="Times New Roman"/>
          <w:sz w:val="24"/>
          <w:szCs w:val="24"/>
        </w:rPr>
        <w:t>,</w:t>
      </w:r>
      <w:r w:rsidR="00487748" w:rsidRPr="00AD15C3">
        <w:rPr>
          <w:rFonts w:ascii="Times New Roman" w:hAnsi="Times New Roman" w:cs="Times New Roman"/>
          <w:sz w:val="24"/>
          <w:szCs w:val="24"/>
        </w:rPr>
        <w:t xml:space="preserve"> </w:t>
      </w:r>
      <w:r w:rsidR="00767B48" w:rsidRPr="00AD15C3">
        <w:rPr>
          <w:rFonts w:ascii="Times New Roman" w:hAnsi="Times New Roman" w:cs="Times New Roman"/>
          <w:sz w:val="24"/>
          <w:szCs w:val="24"/>
        </w:rPr>
        <w:t>the term</w:t>
      </w:r>
      <w:r w:rsidR="00165E48" w:rsidRPr="00AD15C3">
        <w:rPr>
          <w:rFonts w:ascii="Times New Roman" w:hAnsi="Times New Roman" w:cs="Times New Roman"/>
          <w:sz w:val="24"/>
          <w:szCs w:val="24"/>
        </w:rPr>
        <w:t>s</w:t>
      </w:r>
      <w:r w:rsidR="00767B48" w:rsidRPr="00AD15C3">
        <w:rPr>
          <w:rFonts w:ascii="Times New Roman" w:hAnsi="Times New Roman" w:cs="Times New Roman"/>
          <w:sz w:val="24"/>
          <w:szCs w:val="24"/>
        </w:rPr>
        <w:t xml:space="preserve"> ‘AIFM’ </w:t>
      </w:r>
      <w:r w:rsidR="00DA7AD0" w:rsidRPr="00AD15C3">
        <w:rPr>
          <w:rFonts w:ascii="Times New Roman" w:hAnsi="Times New Roman" w:cs="Times New Roman"/>
          <w:sz w:val="24"/>
          <w:szCs w:val="24"/>
        </w:rPr>
        <w:t xml:space="preserve">and ‘Licence Holder(s)’ </w:t>
      </w:r>
      <w:r w:rsidR="00767B48" w:rsidRPr="00AD15C3">
        <w:rPr>
          <w:rFonts w:ascii="Times New Roman" w:hAnsi="Times New Roman" w:cs="Times New Roman"/>
          <w:sz w:val="24"/>
          <w:szCs w:val="24"/>
        </w:rPr>
        <w:t xml:space="preserve">shall include </w:t>
      </w:r>
      <w:r w:rsidR="00DA7AD0" w:rsidRPr="00AD15C3">
        <w:rPr>
          <w:rFonts w:ascii="Times New Roman" w:hAnsi="Times New Roman" w:cs="Times New Roman"/>
          <w:sz w:val="24"/>
          <w:szCs w:val="24"/>
        </w:rPr>
        <w:t xml:space="preserve">both Fund Managers </w:t>
      </w:r>
      <w:r w:rsidR="00EC1F3D">
        <w:rPr>
          <w:rFonts w:ascii="Times New Roman" w:hAnsi="Times New Roman" w:cs="Times New Roman"/>
          <w:sz w:val="24"/>
          <w:szCs w:val="24"/>
        </w:rPr>
        <w:t xml:space="preserve">(which may also include UCITS Fund Managers who also manage AIFs) </w:t>
      </w:r>
      <w:r w:rsidR="00DA7AD0" w:rsidRPr="00AD15C3">
        <w:rPr>
          <w:rFonts w:ascii="Times New Roman" w:hAnsi="Times New Roman" w:cs="Times New Roman"/>
          <w:sz w:val="24"/>
          <w:szCs w:val="24"/>
        </w:rPr>
        <w:t xml:space="preserve">and </w:t>
      </w:r>
      <w:r w:rsidR="00767B48" w:rsidRPr="00AD15C3">
        <w:rPr>
          <w:rFonts w:ascii="Times New Roman" w:hAnsi="Times New Roman" w:cs="Times New Roman"/>
          <w:sz w:val="24"/>
          <w:szCs w:val="24"/>
        </w:rPr>
        <w:t>self-managed AIF</w:t>
      </w:r>
      <w:r w:rsidR="00DA7AD0" w:rsidRPr="00AD15C3">
        <w:rPr>
          <w:rFonts w:ascii="Times New Roman" w:hAnsi="Times New Roman" w:cs="Times New Roman"/>
          <w:sz w:val="24"/>
          <w:szCs w:val="24"/>
        </w:rPr>
        <w:t>s</w:t>
      </w:r>
      <w:r w:rsidR="00767B48" w:rsidRPr="00AD15C3">
        <w:rPr>
          <w:rFonts w:ascii="Times New Roman" w:hAnsi="Times New Roman" w:cs="Times New Roman"/>
          <w:sz w:val="24"/>
          <w:szCs w:val="24"/>
        </w:rPr>
        <w:t>.</w:t>
      </w:r>
      <w:r w:rsidR="00952CB6" w:rsidRPr="00AD15C3">
        <w:rPr>
          <w:rFonts w:ascii="Times New Roman" w:hAnsi="Times New Roman" w:cs="Times New Roman"/>
          <w:sz w:val="24"/>
          <w:szCs w:val="24"/>
        </w:rPr>
        <w:t xml:space="preserve"> </w:t>
      </w:r>
    </w:p>
    <w:p w:rsidR="00CC36FD" w:rsidRPr="00AD15C3" w:rsidRDefault="00767B48"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 xml:space="preserve">This document </w:t>
      </w:r>
      <w:r w:rsidR="00952CB6" w:rsidRPr="00AD15C3">
        <w:rPr>
          <w:rFonts w:ascii="Times New Roman" w:hAnsi="Times New Roman" w:cs="Times New Roman"/>
          <w:sz w:val="24"/>
          <w:szCs w:val="24"/>
        </w:rPr>
        <w:t xml:space="preserve">applies to AIFMs </w:t>
      </w:r>
      <w:r w:rsidR="0071438A" w:rsidRPr="00AD15C3">
        <w:rPr>
          <w:rFonts w:ascii="Times New Roman" w:hAnsi="Times New Roman" w:cs="Times New Roman"/>
          <w:sz w:val="24"/>
          <w:szCs w:val="24"/>
        </w:rPr>
        <w:t xml:space="preserve">that </w:t>
      </w:r>
      <w:r w:rsidR="00487748">
        <w:rPr>
          <w:rFonts w:ascii="Times New Roman" w:hAnsi="Times New Roman" w:cs="Times New Roman"/>
          <w:sz w:val="24"/>
          <w:szCs w:val="24"/>
        </w:rPr>
        <w:t>fall</w:t>
      </w:r>
      <w:r w:rsidR="00487748" w:rsidRPr="00AD15C3">
        <w:rPr>
          <w:rFonts w:ascii="Times New Roman" w:hAnsi="Times New Roman" w:cs="Times New Roman"/>
          <w:sz w:val="24"/>
          <w:szCs w:val="24"/>
        </w:rPr>
        <w:t xml:space="preserve"> </w:t>
      </w:r>
      <w:r w:rsidR="00296973" w:rsidRPr="00AD15C3">
        <w:rPr>
          <w:rFonts w:ascii="Times New Roman" w:hAnsi="Times New Roman" w:cs="Times New Roman"/>
          <w:sz w:val="24"/>
          <w:szCs w:val="24"/>
        </w:rPr>
        <w:t xml:space="preserve">within the scope of the </w:t>
      </w:r>
      <w:r w:rsidR="00DA7AD0" w:rsidRPr="00AD15C3">
        <w:rPr>
          <w:rFonts w:ascii="Times New Roman" w:hAnsi="Times New Roman" w:cs="Times New Roman"/>
          <w:sz w:val="24"/>
          <w:szCs w:val="24"/>
        </w:rPr>
        <w:t>Directive</w:t>
      </w:r>
      <w:r w:rsidR="00296973" w:rsidRPr="00AD15C3">
        <w:rPr>
          <w:rFonts w:ascii="Times New Roman" w:hAnsi="Times New Roman" w:cs="Times New Roman"/>
          <w:sz w:val="24"/>
          <w:szCs w:val="24"/>
        </w:rPr>
        <w:t xml:space="preserve"> and </w:t>
      </w:r>
      <w:r w:rsidR="00165E48" w:rsidRPr="00AD15C3">
        <w:rPr>
          <w:rFonts w:ascii="Times New Roman" w:hAnsi="Times New Roman" w:cs="Times New Roman"/>
          <w:sz w:val="24"/>
          <w:szCs w:val="24"/>
        </w:rPr>
        <w:t xml:space="preserve">which do not qualify for an </w:t>
      </w:r>
      <w:r w:rsidR="00296973" w:rsidRPr="00AD15C3">
        <w:rPr>
          <w:rFonts w:ascii="Times New Roman" w:hAnsi="Times New Roman" w:cs="Times New Roman"/>
          <w:sz w:val="24"/>
          <w:szCs w:val="24"/>
        </w:rPr>
        <w:t>exemption</w:t>
      </w:r>
      <w:r w:rsidR="00165E48" w:rsidRPr="00AD15C3">
        <w:rPr>
          <w:rFonts w:ascii="Times New Roman" w:hAnsi="Times New Roman" w:cs="Times New Roman"/>
          <w:sz w:val="24"/>
          <w:szCs w:val="24"/>
        </w:rPr>
        <w:t xml:space="preserve"> in terms of Article 3 of the Directive</w:t>
      </w:r>
      <w:r w:rsidR="006A488E">
        <w:rPr>
          <w:rFonts w:ascii="Times New Roman" w:hAnsi="Times New Roman" w:cs="Times New Roman"/>
          <w:sz w:val="24"/>
          <w:szCs w:val="24"/>
        </w:rPr>
        <w:t xml:space="preserve">, as well as to those AIFMs that choose to opt in under the Directive </w:t>
      </w:r>
      <w:r w:rsidR="007532CF" w:rsidRPr="00AD15C3">
        <w:rPr>
          <w:rFonts w:ascii="Times New Roman" w:hAnsi="Times New Roman" w:cs="Times New Roman"/>
          <w:sz w:val="24"/>
          <w:szCs w:val="24"/>
        </w:rPr>
        <w:t xml:space="preserve">pursuant to </w:t>
      </w:r>
      <w:r w:rsidR="00903671" w:rsidRPr="00AD15C3">
        <w:rPr>
          <w:rFonts w:ascii="Times New Roman" w:hAnsi="Times New Roman" w:cs="Times New Roman"/>
          <w:sz w:val="24"/>
          <w:szCs w:val="24"/>
        </w:rPr>
        <w:t>A</w:t>
      </w:r>
      <w:r w:rsidR="007532CF" w:rsidRPr="00AD15C3">
        <w:rPr>
          <w:rFonts w:ascii="Times New Roman" w:hAnsi="Times New Roman" w:cs="Times New Roman"/>
          <w:sz w:val="24"/>
          <w:szCs w:val="24"/>
        </w:rPr>
        <w:t>rt</w:t>
      </w:r>
      <w:r w:rsidR="00903671" w:rsidRPr="00AD15C3">
        <w:rPr>
          <w:rFonts w:ascii="Times New Roman" w:hAnsi="Times New Roman" w:cs="Times New Roman"/>
          <w:sz w:val="24"/>
          <w:szCs w:val="24"/>
        </w:rPr>
        <w:t>icle</w:t>
      </w:r>
      <w:r w:rsidR="007532CF" w:rsidRPr="00AD15C3">
        <w:rPr>
          <w:rFonts w:ascii="Times New Roman" w:hAnsi="Times New Roman" w:cs="Times New Roman"/>
          <w:sz w:val="24"/>
          <w:szCs w:val="24"/>
        </w:rPr>
        <w:t xml:space="preserve"> 3(4)</w:t>
      </w:r>
      <w:r w:rsidR="0034682C">
        <w:rPr>
          <w:rFonts w:ascii="Times New Roman" w:hAnsi="Times New Roman" w:cs="Times New Roman"/>
          <w:sz w:val="24"/>
          <w:szCs w:val="24"/>
        </w:rPr>
        <w:t xml:space="preserve"> </w:t>
      </w:r>
      <w:r w:rsidR="00952CB6" w:rsidRPr="00AD15C3">
        <w:rPr>
          <w:rFonts w:ascii="Times New Roman" w:hAnsi="Times New Roman" w:cs="Times New Roman"/>
          <w:sz w:val="24"/>
          <w:szCs w:val="24"/>
        </w:rPr>
        <w:t xml:space="preserve">of the </w:t>
      </w:r>
      <w:r w:rsidR="00047305">
        <w:rPr>
          <w:rFonts w:ascii="Times New Roman" w:hAnsi="Times New Roman" w:cs="Times New Roman"/>
          <w:sz w:val="24"/>
          <w:szCs w:val="24"/>
        </w:rPr>
        <w:t>same</w:t>
      </w:r>
      <w:r w:rsidR="007532CF" w:rsidRPr="00AD15C3">
        <w:rPr>
          <w:rFonts w:ascii="Times New Roman" w:hAnsi="Times New Roman" w:cs="Times New Roman"/>
          <w:sz w:val="24"/>
          <w:szCs w:val="24"/>
        </w:rPr>
        <w:t>.</w:t>
      </w:r>
      <w:r w:rsidR="005A314C" w:rsidRPr="00AD15C3">
        <w:rPr>
          <w:rFonts w:ascii="Times New Roman" w:hAnsi="Times New Roman" w:cs="Times New Roman"/>
          <w:sz w:val="24"/>
          <w:szCs w:val="24"/>
        </w:rPr>
        <w:t xml:space="preserve"> </w:t>
      </w:r>
      <w:r w:rsidR="00C41342" w:rsidRPr="00AD15C3">
        <w:rPr>
          <w:rFonts w:ascii="Times New Roman" w:hAnsi="Times New Roman" w:cs="Times New Roman"/>
          <w:sz w:val="24"/>
          <w:szCs w:val="24"/>
        </w:rPr>
        <w:t xml:space="preserve"> </w:t>
      </w:r>
    </w:p>
    <w:p w:rsidR="00AD15C3" w:rsidRPr="00AD15C3" w:rsidRDefault="00741DCE"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lastRenderedPageBreak/>
        <w:t xml:space="preserve">It should be noted that where a Licence Holder is authorised pursuant to Directive 2009/65/EC as a UCITS Fund Manager and applies for authorisation as an AIFM under Directive 2011/61/EC, the </w:t>
      </w:r>
      <w:r w:rsidR="00E86E7B" w:rsidRPr="00AD15C3">
        <w:rPr>
          <w:rFonts w:ascii="Times New Roman" w:hAnsi="Times New Roman" w:cs="Times New Roman"/>
          <w:sz w:val="24"/>
          <w:szCs w:val="24"/>
        </w:rPr>
        <w:t>Licence Holder</w:t>
      </w:r>
      <w:r w:rsidRPr="00AD15C3">
        <w:rPr>
          <w:rFonts w:ascii="Times New Roman" w:hAnsi="Times New Roman" w:cs="Times New Roman"/>
          <w:sz w:val="24"/>
          <w:szCs w:val="24"/>
        </w:rPr>
        <w:t xml:space="preserve"> shall not be required to provide information or documents which it had already provided when applying for authorisation under Directive 2009/65/EC, pr</w:t>
      </w:r>
      <w:r w:rsidR="00320F11" w:rsidRPr="00AD15C3">
        <w:rPr>
          <w:rFonts w:ascii="Times New Roman" w:hAnsi="Times New Roman" w:cs="Times New Roman"/>
          <w:sz w:val="24"/>
          <w:szCs w:val="24"/>
        </w:rPr>
        <w:t xml:space="preserve">ovided that such information or </w:t>
      </w:r>
      <w:r w:rsidRPr="00AD15C3">
        <w:rPr>
          <w:rFonts w:ascii="Times New Roman" w:hAnsi="Times New Roman" w:cs="Times New Roman"/>
          <w:sz w:val="24"/>
          <w:szCs w:val="24"/>
        </w:rPr>
        <w:t>documents remain up-to-date.</w:t>
      </w:r>
      <w:r w:rsidR="00320F11" w:rsidRPr="00AD15C3">
        <w:rPr>
          <w:rFonts w:ascii="Times New Roman" w:hAnsi="Times New Roman" w:cs="Times New Roman"/>
          <w:sz w:val="24"/>
          <w:szCs w:val="24"/>
        </w:rPr>
        <w:t xml:space="preserve">  Accordingly, certain sections of this </w:t>
      </w:r>
      <w:r w:rsidR="00E86E7B" w:rsidRPr="00AD15C3">
        <w:rPr>
          <w:rFonts w:ascii="Times New Roman" w:hAnsi="Times New Roman" w:cs="Times New Roman"/>
          <w:sz w:val="24"/>
          <w:szCs w:val="24"/>
        </w:rPr>
        <w:t>document</w:t>
      </w:r>
      <w:r w:rsidR="00320F11" w:rsidRPr="00AD15C3">
        <w:rPr>
          <w:rFonts w:ascii="Times New Roman" w:hAnsi="Times New Roman" w:cs="Times New Roman"/>
          <w:sz w:val="24"/>
          <w:szCs w:val="24"/>
        </w:rPr>
        <w:t xml:space="preserve"> do not apply to UCITS Fund Managers.</w:t>
      </w:r>
    </w:p>
    <w:p w:rsidR="00BF70E7" w:rsidRDefault="00320F11" w:rsidP="00320F11">
      <w:pPr>
        <w:spacing w:line="360" w:lineRule="auto"/>
        <w:jc w:val="both"/>
        <w:rPr>
          <w:rFonts w:ascii="Times New Roman" w:hAnsi="Times New Roman" w:cs="Times New Roman"/>
          <w:sz w:val="26"/>
          <w:szCs w:val="26"/>
        </w:rPr>
      </w:pPr>
      <w:r w:rsidRPr="00AD15C3">
        <w:rPr>
          <w:rFonts w:ascii="Times New Roman" w:hAnsi="Times New Roman" w:cs="Times New Roman"/>
          <w:sz w:val="24"/>
          <w:szCs w:val="24"/>
        </w:rPr>
        <w:t xml:space="preserve"> </w:t>
      </w:r>
    </w:p>
    <w:p w:rsidR="00BF70E7" w:rsidRP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4"/>
          <w:szCs w:val="24"/>
        </w:rPr>
      </w:pP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i/>
          <w:sz w:val="25"/>
          <w:szCs w:val="25"/>
          <w:u w:val="single"/>
        </w:rPr>
      </w:pPr>
      <w:bookmarkStart w:id="2" w:name="OLE_LINK1"/>
      <w:r w:rsidRPr="00802278">
        <w:rPr>
          <w:rFonts w:ascii="Times New Roman" w:hAnsi="Times New Roman"/>
          <w:b/>
          <w:i/>
          <w:sz w:val="25"/>
          <w:szCs w:val="25"/>
          <w:u w:val="single"/>
        </w:rPr>
        <w:t>Important Information</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sidRPr="00802278">
        <w:rPr>
          <w:rFonts w:ascii="Times New Roman" w:hAnsi="Times New Roman"/>
          <w:i/>
          <w:sz w:val="25"/>
          <w:szCs w:val="25"/>
        </w:rPr>
        <w:t>All questions should be answered clearly providing detailed information where appropriate. Any questions which are ‘Not Applicable’ should be clearly indicated as such.  If there is insufficient space for a detailed answer, please securely attach continuation sheets at the back of this document. Please label continuation sheets, clearly indicating to which question in the form the additional information refers.</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sidRPr="00802278">
        <w:rPr>
          <w:rFonts w:ascii="Times New Roman" w:hAnsi="Times New Roman"/>
          <w:i/>
          <w:sz w:val="25"/>
          <w:szCs w:val="25"/>
        </w:rPr>
        <w:t>The completed form including the declaration</w:t>
      </w:r>
      <w:r w:rsidR="00BF7C7E">
        <w:rPr>
          <w:rFonts w:ascii="Times New Roman" w:hAnsi="Times New Roman"/>
          <w:i/>
          <w:sz w:val="25"/>
          <w:szCs w:val="25"/>
        </w:rPr>
        <w:t xml:space="preserve"> requested</w:t>
      </w:r>
      <w:r w:rsidRPr="00802278">
        <w:rPr>
          <w:rFonts w:ascii="Times New Roman" w:hAnsi="Times New Roman"/>
          <w:i/>
          <w:sz w:val="25"/>
          <w:szCs w:val="25"/>
        </w:rPr>
        <w:t xml:space="preserve"> at the end, should be addressed for the attention of the Director – Authorisation Unit, as shown on the cover sheet.  </w:t>
      </w:r>
    </w:p>
    <w:p w:rsidR="00D84C0A" w:rsidRDefault="00D84C0A"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D84C0A" w:rsidRPr="00802278" w:rsidRDefault="003D0718"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Pr>
          <w:rFonts w:ascii="Times New Roman" w:hAnsi="Times New Roman"/>
          <w:i/>
          <w:sz w:val="25"/>
          <w:szCs w:val="25"/>
        </w:rPr>
        <w:t>T</w:t>
      </w:r>
      <w:r w:rsidR="00D84C0A">
        <w:rPr>
          <w:rFonts w:ascii="Times New Roman" w:hAnsi="Times New Roman"/>
          <w:i/>
          <w:sz w:val="25"/>
          <w:szCs w:val="25"/>
        </w:rPr>
        <w:t>he Authority reserves the right to request additional</w:t>
      </w:r>
      <w:r>
        <w:rPr>
          <w:rFonts w:ascii="Times New Roman" w:hAnsi="Times New Roman"/>
          <w:i/>
          <w:sz w:val="25"/>
          <w:szCs w:val="25"/>
        </w:rPr>
        <w:t xml:space="preserve"> supporting</w:t>
      </w:r>
      <w:r w:rsidR="00D84C0A">
        <w:rPr>
          <w:rFonts w:ascii="Times New Roman" w:hAnsi="Times New Roman"/>
          <w:i/>
          <w:sz w:val="25"/>
          <w:szCs w:val="25"/>
        </w:rPr>
        <w:t xml:space="preserve"> documents</w:t>
      </w:r>
      <w:r>
        <w:rPr>
          <w:rFonts w:ascii="Times New Roman" w:hAnsi="Times New Roman"/>
          <w:i/>
          <w:sz w:val="25"/>
          <w:szCs w:val="25"/>
        </w:rPr>
        <w:t>, declarations</w:t>
      </w:r>
      <w:r w:rsidR="00D84C0A">
        <w:rPr>
          <w:rFonts w:ascii="Times New Roman" w:hAnsi="Times New Roman"/>
          <w:i/>
          <w:sz w:val="25"/>
          <w:szCs w:val="25"/>
        </w:rPr>
        <w:t xml:space="preserve"> and/ or clarifications as required in order to ensure compliance with the Directive. </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5"/>
          <w:szCs w:val="25"/>
        </w:rPr>
      </w:pPr>
      <w:r w:rsidRPr="00802278">
        <w:rPr>
          <w:rFonts w:ascii="Times New Roman" w:hAnsi="Times New Roman"/>
          <w:i/>
          <w:sz w:val="25"/>
          <w:szCs w:val="25"/>
        </w:rPr>
        <w:t xml:space="preserve">Completed forms are to be submitted to the Authority by the </w:t>
      </w:r>
      <w:r w:rsidR="00DA67AB">
        <w:rPr>
          <w:rFonts w:ascii="Times New Roman" w:hAnsi="Times New Roman"/>
          <w:b/>
          <w:i/>
          <w:sz w:val="25"/>
          <w:szCs w:val="25"/>
        </w:rPr>
        <w:t>31</w:t>
      </w:r>
      <w:r w:rsidRPr="00802278">
        <w:rPr>
          <w:rFonts w:ascii="Times New Roman" w:hAnsi="Times New Roman"/>
          <w:b/>
          <w:i/>
          <w:sz w:val="25"/>
          <w:szCs w:val="25"/>
        </w:rPr>
        <w:t xml:space="preserve"> </w:t>
      </w:r>
      <w:r w:rsidR="00802278">
        <w:rPr>
          <w:rFonts w:ascii="Times New Roman" w:hAnsi="Times New Roman"/>
          <w:b/>
          <w:i/>
          <w:sz w:val="25"/>
          <w:szCs w:val="25"/>
        </w:rPr>
        <w:t>Ma</w:t>
      </w:r>
      <w:r w:rsidR="00DA67AB">
        <w:rPr>
          <w:rFonts w:ascii="Times New Roman" w:hAnsi="Times New Roman"/>
          <w:b/>
          <w:i/>
          <w:sz w:val="25"/>
          <w:szCs w:val="25"/>
        </w:rPr>
        <w:t>rch</w:t>
      </w:r>
      <w:r w:rsidRPr="00802278">
        <w:rPr>
          <w:rFonts w:ascii="Times New Roman" w:hAnsi="Times New Roman"/>
          <w:b/>
          <w:i/>
          <w:sz w:val="25"/>
          <w:szCs w:val="25"/>
        </w:rPr>
        <w:t xml:space="preserve"> 2014</w:t>
      </w:r>
      <w:r w:rsidRPr="00802278">
        <w:rPr>
          <w:rFonts w:ascii="Times New Roman" w:hAnsi="Times New Roman"/>
          <w:i/>
          <w:sz w:val="25"/>
          <w:szCs w:val="25"/>
        </w:rPr>
        <w:t>.</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5"/>
          <w:szCs w:val="25"/>
        </w:rPr>
      </w:pPr>
      <w:r w:rsidRPr="00802278">
        <w:rPr>
          <w:rFonts w:ascii="Times New Roman" w:hAnsi="Times New Roman"/>
          <w:i/>
          <w:sz w:val="25"/>
          <w:szCs w:val="25"/>
        </w:rPr>
        <w:t xml:space="preserve">For </w:t>
      </w:r>
      <w:r w:rsidR="00802278">
        <w:rPr>
          <w:rFonts w:ascii="Times New Roman" w:hAnsi="Times New Roman"/>
          <w:i/>
          <w:sz w:val="25"/>
          <w:szCs w:val="25"/>
        </w:rPr>
        <w:t xml:space="preserve">general enquiries regarding </w:t>
      </w:r>
      <w:r w:rsidRPr="00802278">
        <w:rPr>
          <w:rFonts w:ascii="Times New Roman" w:hAnsi="Times New Roman"/>
          <w:i/>
          <w:sz w:val="25"/>
          <w:szCs w:val="25"/>
        </w:rPr>
        <w:t>the completion of this form, please contact an official of the Authorisation Unit at the MFSA on 21441155</w:t>
      </w:r>
      <w:r w:rsidR="0068473A">
        <w:rPr>
          <w:rFonts w:ascii="Times New Roman" w:hAnsi="Times New Roman"/>
          <w:i/>
          <w:sz w:val="25"/>
          <w:szCs w:val="25"/>
        </w:rPr>
        <w:t xml:space="preserve"> or </w:t>
      </w:r>
      <w:hyperlink r:id="rId12" w:history="1">
        <w:r w:rsidR="0068473A" w:rsidRPr="00FF65A0">
          <w:rPr>
            <w:rStyle w:val="Hyperlink"/>
            <w:rFonts w:ascii="Times New Roman" w:hAnsi="Times New Roman"/>
            <w:i/>
            <w:sz w:val="25"/>
            <w:szCs w:val="25"/>
          </w:rPr>
          <w:t>au@mfsa.com.mt</w:t>
        </w:r>
      </w:hyperlink>
      <w:r w:rsidRPr="00802278">
        <w:rPr>
          <w:rFonts w:ascii="Times New Roman" w:hAnsi="Times New Roman"/>
          <w:i/>
          <w:sz w:val="25"/>
          <w:szCs w:val="25"/>
        </w:rPr>
        <w:t>.</w:t>
      </w:r>
    </w:p>
    <w:bookmarkEnd w:id="2"/>
    <w:p w:rsidR="00BF70E7" w:rsidRP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szCs w:val="24"/>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A47AE0" w:rsidRDefault="00A47AE0" w:rsidP="00BF70E7">
      <w:pPr>
        <w:spacing w:line="360" w:lineRule="auto"/>
        <w:jc w:val="center"/>
        <w:rPr>
          <w:rFonts w:ascii="Times New Roman" w:hAnsi="Times New Roman" w:cs="Times New Roman"/>
          <w:b/>
          <w:bCs/>
          <w:sz w:val="26"/>
          <w:szCs w:val="26"/>
        </w:rPr>
      </w:pPr>
    </w:p>
    <w:p w:rsidR="00BF70E7" w:rsidRDefault="00D84C0A" w:rsidP="00BF70E7">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BF70E7" w:rsidRPr="00BF70E7">
        <w:rPr>
          <w:rFonts w:ascii="Times New Roman" w:hAnsi="Times New Roman" w:cs="Times New Roman"/>
          <w:b/>
          <w:bCs/>
          <w:sz w:val="26"/>
          <w:szCs w:val="26"/>
        </w:rPr>
        <w:t>ection 1: General – Current Authorisation</w:t>
      </w:r>
    </w:p>
    <w:p w:rsidR="00BF70E7" w:rsidRPr="00576205" w:rsidRDefault="00BF70E7" w:rsidP="00BF70E7">
      <w:pPr>
        <w:spacing w:line="240" w:lineRule="auto"/>
        <w:ind w:left="426"/>
        <w:contextualSpacing/>
        <w:jc w:val="both"/>
        <w:rPr>
          <w:rFonts w:ascii="Times New Roman" w:hAnsi="Times New Roman" w:cs="Times New Roman"/>
          <w:i/>
          <w:color w:val="808080" w:themeColor="background1" w:themeShade="80"/>
        </w:rPr>
      </w:pPr>
      <w:r w:rsidRPr="00576205">
        <w:rPr>
          <w:rFonts w:ascii="Times New Roman" w:hAnsi="Times New Roman" w:cs="Times New Roman"/>
          <w:i/>
          <w:color w:val="808080" w:themeColor="background1" w:themeShade="80"/>
        </w:rPr>
        <w:t xml:space="preserve">This section requires </w:t>
      </w:r>
      <w:r w:rsidR="00AC2AC6">
        <w:rPr>
          <w:rFonts w:ascii="Times New Roman" w:hAnsi="Times New Roman" w:cs="Times New Roman"/>
          <w:i/>
          <w:color w:val="808080" w:themeColor="background1" w:themeShade="80"/>
        </w:rPr>
        <w:t>L</w:t>
      </w:r>
      <w:r w:rsidRPr="00576205">
        <w:rPr>
          <w:rFonts w:ascii="Times New Roman" w:hAnsi="Times New Roman" w:cs="Times New Roman"/>
          <w:i/>
          <w:color w:val="808080" w:themeColor="background1" w:themeShade="80"/>
        </w:rPr>
        <w:t xml:space="preserve">icence </w:t>
      </w:r>
      <w:r w:rsidR="00AC2AC6">
        <w:rPr>
          <w:rFonts w:ascii="Times New Roman" w:hAnsi="Times New Roman" w:cs="Times New Roman"/>
          <w:i/>
          <w:color w:val="808080" w:themeColor="background1" w:themeShade="80"/>
        </w:rPr>
        <w:t>H</w:t>
      </w:r>
      <w:r w:rsidRPr="00576205">
        <w:rPr>
          <w:rFonts w:ascii="Times New Roman" w:hAnsi="Times New Roman" w:cs="Times New Roman"/>
          <w:i/>
          <w:color w:val="808080" w:themeColor="background1" w:themeShade="80"/>
        </w:rPr>
        <w:t xml:space="preserve">olders to provide details with regards to their current authorisation and the services to be provided </w:t>
      </w:r>
      <w:r w:rsidR="00714980">
        <w:rPr>
          <w:rFonts w:ascii="Times New Roman" w:hAnsi="Times New Roman" w:cs="Times New Roman"/>
          <w:i/>
          <w:color w:val="808080" w:themeColor="background1" w:themeShade="80"/>
        </w:rPr>
        <w:t>as an authorised AIFM under the Directive.</w:t>
      </w:r>
      <w:r w:rsidRPr="00576205">
        <w:rPr>
          <w:rFonts w:ascii="Times New Roman" w:hAnsi="Times New Roman" w:cs="Times New Roman"/>
          <w:i/>
          <w:color w:val="808080" w:themeColor="background1" w:themeShade="80"/>
        </w:rPr>
        <w:t xml:space="preserve"> </w:t>
      </w:r>
    </w:p>
    <w:p w:rsidR="00BF70E7" w:rsidRPr="00576205" w:rsidRDefault="00BF70E7" w:rsidP="00BF70E7">
      <w:pPr>
        <w:spacing w:line="240" w:lineRule="auto"/>
        <w:ind w:left="426"/>
        <w:contextualSpacing/>
        <w:jc w:val="both"/>
        <w:rPr>
          <w:rFonts w:ascii="Times New Roman" w:eastAsia="Times New Roman" w:hAnsi="Times New Roman" w:cs="Times New Roman"/>
          <w:color w:val="808080" w:themeColor="background1" w:themeShade="80"/>
          <w:lang w:eastAsia="en-GB"/>
        </w:rPr>
      </w:pPr>
    </w:p>
    <w:p w:rsidR="00BF70E7" w:rsidRPr="00576205" w:rsidRDefault="00BF70E7" w:rsidP="00BF70E7">
      <w:pPr>
        <w:spacing w:line="240" w:lineRule="auto"/>
        <w:ind w:left="426"/>
        <w:contextualSpacing/>
        <w:jc w:val="both"/>
        <w:rPr>
          <w:rFonts w:ascii="Times New Roman" w:hAnsi="Times New Roman" w:cs="Times New Roman"/>
          <w:b/>
          <w:i/>
          <w:color w:val="808080" w:themeColor="background1" w:themeShade="80"/>
        </w:rPr>
      </w:pPr>
      <w:r w:rsidRPr="00576205">
        <w:rPr>
          <w:rFonts w:ascii="Times New Roman" w:eastAsia="Times New Roman" w:hAnsi="Times New Roman" w:cs="Times New Roman"/>
          <w:i/>
          <w:color w:val="808080" w:themeColor="background1" w:themeShade="80"/>
          <w:lang w:eastAsia="en-GB"/>
        </w:rPr>
        <w:t>For Questions 1.</w:t>
      </w:r>
      <w:r w:rsidR="0072766F" w:rsidRPr="00576205">
        <w:rPr>
          <w:rFonts w:ascii="Times New Roman" w:eastAsia="Times New Roman" w:hAnsi="Times New Roman" w:cs="Times New Roman"/>
          <w:i/>
          <w:color w:val="808080" w:themeColor="background1" w:themeShade="80"/>
          <w:lang w:eastAsia="en-GB"/>
        </w:rPr>
        <w:t>3 – 1.4</w:t>
      </w:r>
      <w:r w:rsidRPr="00576205">
        <w:rPr>
          <w:rFonts w:ascii="Times New Roman" w:eastAsia="Times New Roman" w:hAnsi="Times New Roman" w:cs="Times New Roman"/>
          <w:i/>
          <w:color w:val="808080" w:themeColor="background1" w:themeShade="80"/>
          <w:lang w:eastAsia="en-GB"/>
        </w:rPr>
        <w:t xml:space="preserve"> please provide updated copies of the Business Plan and Terms of Reference (as applicable)</w:t>
      </w:r>
      <w:r w:rsidR="00714980">
        <w:rPr>
          <w:rFonts w:ascii="Times New Roman" w:eastAsia="Times New Roman" w:hAnsi="Times New Roman" w:cs="Times New Roman"/>
          <w:i/>
          <w:color w:val="808080" w:themeColor="background1" w:themeShade="80"/>
          <w:lang w:eastAsia="en-GB"/>
        </w:rPr>
        <w:t>.</w:t>
      </w:r>
      <w:r w:rsidRPr="00576205">
        <w:rPr>
          <w:rFonts w:ascii="Times New Roman" w:eastAsia="Times New Roman" w:hAnsi="Times New Roman" w:cs="Times New Roman"/>
          <w:i/>
          <w:color w:val="808080" w:themeColor="background1" w:themeShade="80"/>
          <w:lang w:eastAsia="en-GB"/>
        </w:rPr>
        <w:t xml:space="preserve"> </w:t>
      </w:r>
    </w:p>
    <w:p w:rsidR="00A02B31" w:rsidRDefault="00A02B31" w:rsidP="00B3631C">
      <w:pPr>
        <w:spacing w:line="240" w:lineRule="auto"/>
        <w:ind w:left="426"/>
        <w:contextualSpacing/>
        <w:jc w:val="both"/>
        <w:rPr>
          <w:rFonts w:ascii="Times New Roman" w:eastAsia="Times New Roman" w:hAnsi="Times New Roman" w:cs="Times New Roman"/>
          <w:i/>
          <w:color w:val="808080" w:themeColor="background1" w:themeShade="80"/>
          <w:lang w:eastAsia="en-GB"/>
        </w:rPr>
      </w:pPr>
    </w:p>
    <w:p w:rsidR="00A02B31" w:rsidRPr="00B3631C" w:rsidRDefault="00A02B31" w:rsidP="00B3631C">
      <w:pPr>
        <w:spacing w:line="240" w:lineRule="auto"/>
        <w:ind w:left="426"/>
        <w:contextualSpacing/>
        <w:jc w:val="both"/>
        <w:rPr>
          <w:rFonts w:ascii="Times New Roman" w:eastAsia="Times New Roman" w:hAnsi="Times New Roman" w:cs="Times New Roman"/>
          <w:i/>
          <w:color w:val="808080" w:themeColor="background1" w:themeShade="80"/>
          <w:lang w:eastAsia="en-GB"/>
        </w:rPr>
      </w:pPr>
      <w:r w:rsidRPr="00B3631C">
        <w:rPr>
          <w:rFonts w:ascii="Times New Roman" w:eastAsia="Times New Roman" w:hAnsi="Times New Roman" w:cs="Times New Roman"/>
          <w:i/>
          <w:color w:val="808080" w:themeColor="background1" w:themeShade="80"/>
          <w:lang w:eastAsia="en-GB"/>
        </w:rPr>
        <w:t>This section needs to be completed by internally managed AIFs and Fund Managers</w:t>
      </w:r>
      <w:r>
        <w:rPr>
          <w:rFonts w:ascii="Times New Roman" w:eastAsia="Times New Roman" w:hAnsi="Times New Roman" w:cs="Times New Roman"/>
          <w:i/>
          <w:color w:val="808080" w:themeColor="background1" w:themeShade="80"/>
          <w:lang w:eastAsia="en-GB"/>
        </w:rPr>
        <w:t xml:space="preserve"> (inc</w:t>
      </w:r>
      <w:r w:rsidRPr="00B3631C">
        <w:rPr>
          <w:rFonts w:ascii="Times New Roman" w:eastAsia="Times New Roman" w:hAnsi="Times New Roman" w:cs="Times New Roman"/>
          <w:i/>
          <w:color w:val="808080" w:themeColor="background1" w:themeShade="80"/>
          <w:lang w:eastAsia="en-GB"/>
        </w:rPr>
        <w:t>luding UCITS Management Companies</w:t>
      </w:r>
      <w:r w:rsidR="0034682C">
        <w:rPr>
          <w:rFonts w:ascii="Times New Roman" w:eastAsia="Times New Roman" w:hAnsi="Times New Roman" w:cs="Times New Roman"/>
          <w:i/>
          <w:color w:val="808080" w:themeColor="background1" w:themeShade="80"/>
          <w:lang w:eastAsia="en-GB"/>
        </w:rPr>
        <w:t xml:space="preserve"> which manage AIFs</w:t>
      </w:r>
      <w:r w:rsidRPr="00B3631C">
        <w:rPr>
          <w:rFonts w:ascii="Times New Roman" w:eastAsia="Times New Roman" w:hAnsi="Times New Roman" w:cs="Times New Roman"/>
          <w:i/>
          <w:color w:val="808080" w:themeColor="background1" w:themeShade="80"/>
          <w:lang w:eastAsia="en-GB"/>
        </w:rPr>
        <w:t xml:space="preserve">).  </w:t>
      </w:r>
    </w:p>
    <w:p w:rsidR="00A02B31" w:rsidRPr="00576205" w:rsidRDefault="00A02B31" w:rsidP="00BF70E7">
      <w:pPr>
        <w:spacing w:line="240" w:lineRule="auto"/>
        <w:ind w:left="426"/>
        <w:contextualSpacing/>
        <w:jc w:val="both"/>
        <w:rPr>
          <w:rFonts w:ascii="Times New Roman" w:eastAsia="Times New Roman" w:hAnsi="Times New Roman" w:cs="Times New Roman"/>
          <w:i/>
          <w:color w:val="808080" w:themeColor="background1" w:themeShade="80"/>
          <w:lang w:eastAsia="en-GB"/>
        </w:rPr>
      </w:pPr>
    </w:p>
    <w:p w:rsidR="00BF70E7" w:rsidRDefault="00714980">
      <w:pPr>
        <w:spacing w:line="240" w:lineRule="auto"/>
        <w:ind w:left="426"/>
        <w:contextualSpacing/>
        <w:jc w:val="both"/>
        <w:rPr>
          <w:rFonts w:ascii="Times New Roman" w:eastAsia="Times New Roman" w:hAnsi="Times New Roman" w:cs="Times New Roman"/>
          <w:i/>
          <w:color w:val="808080" w:themeColor="background1" w:themeShade="80"/>
          <w:lang w:eastAsia="en-GB"/>
        </w:rPr>
      </w:pPr>
      <w:r w:rsidRPr="00576205">
        <w:rPr>
          <w:rFonts w:ascii="Times New Roman" w:eastAsia="Times New Roman" w:hAnsi="Times New Roman" w:cs="Times New Roman"/>
          <w:i/>
          <w:color w:val="808080" w:themeColor="background1" w:themeShade="80"/>
          <w:lang w:eastAsia="en-GB"/>
        </w:rPr>
        <w:t>I</w:t>
      </w:r>
      <w:r>
        <w:rPr>
          <w:rFonts w:ascii="Times New Roman" w:eastAsia="Times New Roman" w:hAnsi="Times New Roman" w:cs="Times New Roman"/>
          <w:i/>
          <w:color w:val="808080" w:themeColor="background1" w:themeShade="80"/>
          <w:lang w:eastAsia="en-GB"/>
        </w:rPr>
        <w:t>n the case of an</w:t>
      </w:r>
      <w:r w:rsidR="00BF70E7" w:rsidRPr="00576205">
        <w:rPr>
          <w:rFonts w:ascii="Times New Roman" w:eastAsia="Times New Roman" w:hAnsi="Times New Roman" w:cs="Times New Roman"/>
          <w:i/>
          <w:color w:val="808080" w:themeColor="background1" w:themeShade="80"/>
          <w:lang w:eastAsia="en-GB"/>
        </w:rPr>
        <w:t xml:space="preserve"> internally managed</w:t>
      </w:r>
      <w:r w:rsidRPr="00714980">
        <w:rPr>
          <w:rFonts w:ascii="Times New Roman" w:eastAsia="Times New Roman" w:hAnsi="Times New Roman" w:cs="Times New Roman"/>
          <w:i/>
          <w:color w:val="808080" w:themeColor="background1" w:themeShade="80"/>
          <w:lang w:eastAsia="en-GB"/>
        </w:rPr>
        <w:t xml:space="preserve"> </w:t>
      </w:r>
      <w:r w:rsidRPr="00576205">
        <w:rPr>
          <w:rFonts w:ascii="Times New Roman" w:eastAsia="Times New Roman" w:hAnsi="Times New Roman" w:cs="Times New Roman"/>
          <w:i/>
          <w:color w:val="808080" w:themeColor="background1" w:themeShade="80"/>
          <w:lang w:eastAsia="en-GB"/>
        </w:rPr>
        <w:t>AIF</w:t>
      </w:r>
      <w:r w:rsidR="00BF70E7" w:rsidRPr="00576205">
        <w:rPr>
          <w:rFonts w:ascii="Times New Roman" w:eastAsia="Times New Roman" w:hAnsi="Times New Roman" w:cs="Times New Roman"/>
          <w:i/>
          <w:color w:val="808080" w:themeColor="background1" w:themeShade="80"/>
          <w:lang w:eastAsia="en-GB"/>
        </w:rPr>
        <w:t>, please mark you</w:t>
      </w:r>
      <w:r>
        <w:rPr>
          <w:rFonts w:ascii="Times New Roman" w:eastAsia="Times New Roman" w:hAnsi="Times New Roman" w:cs="Times New Roman"/>
          <w:i/>
          <w:color w:val="808080" w:themeColor="background1" w:themeShade="80"/>
          <w:lang w:eastAsia="en-GB"/>
        </w:rPr>
        <w:t>r</w:t>
      </w:r>
      <w:r w:rsidR="00BF70E7" w:rsidRPr="00576205">
        <w:rPr>
          <w:rFonts w:ascii="Times New Roman" w:eastAsia="Times New Roman" w:hAnsi="Times New Roman" w:cs="Times New Roman"/>
          <w:i/>
          <w:color w:val="808080" w:themeColor="background1" w:themeShade="80"/>
          <w:lang w:eastAsia="en-GB"/>
        </w:rPr>
        <w:t xml:space="preserve"> reply to Questions 1.2 – 1.</w:t>
      </w:r>
      <w:r w:rsidR="003A7CBE">
        <w:rPr>
          <w:rFonts w:ascii="Times New Roman" w:eastAsia="Times New Roman" w:hAnsi="Times New Roman" w:cs="Times New Roman"/>
          <w:i/>
          <w:color w:val="808080" w:themeColor="background1" w:themeShade="80"/>
          <w:lang w:eastAsia="en-GB"/>
        </w:rPr>
        <w:t>6</w:t>
      </w:r>
      <w:r w:rsidR="00BF70E7" w:rsidRPr="00576205">
        <w:rPr>
          <w:rFonts w:ascii="Times New Roman" w:eastAsia="Times New Roman" w:hAnsi="Times New Roman" w:cs="Times New Roman"/>
          <w:i/>
          <w:color w:val="808080" w:themeColor="background1" w:themeShade="80"/>
          <w:lang w:eastAsia="en-GB"/>
        </w:rPr>
        <w:t xml:space="preserve"> as “N/A” [In terms of Article 6(3) and in accordance with Annex 1 of the Directive, internally managed AIFs shall not engage in activities other than the i</w:t>
      </w:r>
      <w:r w:rsidR="003D5D8C" w:rsidRPr="00576205">
        <w:rPr>
          <w:rFonts w:ascii="Times New Roman" w:eastAsia="Times New Roman" w:hAnsi="Times New Roman" w:cs="Times New Roman"/>
          <w:i/>
          <w:color w:val="808080" w:themeColor="background1" w:themeShade="80"/>
          <w:lang w:eastAsia="en-GB"/>
        </w:rPr>
        <w:t>nternal management of that AIF]</w:t>
      </w:r>
      <w:r>
        <w:rPr>
          <w:rFonts w:ascii="Times New Roman" w:eastAsia="Times New Roman" w:hAnsi="Times New Roman" w:cs="Times New Roman"/>
          <w:i/>
          <w:color w:val="808080" w:themeColor="background1" w:themeShade="80"/>
          <w:lang w:eastAsia="en-GB"/>
        </w:rPr>
        <w:t>.</w:t>
      </w:r>
      <w:r w:rsidR="00BF70E7" w:rsidRPr="00576205">
        <w:rPr>
          <w:rFonts w:ascii="Times New Roman" w:eastAsia="Times New Roman" w:hAnsi="Times New Roman" w:cs="Times New Roman"/>
          <w:i/>
          <w:color w:val="808080" w:themeColor="background1" w:themeShade="80"/>
          <w:lang w:eastAsia="en-GB"/>
        </w:rPr>
        <w:t xml:space="preserve"> </w:t>
      </w:r>
    </w:p>
    <w:p w:rsidR="00A02B31" w:rsidRPr="00576205" w:rsidRDefault="00A02B31">
      <w:pPr>
        <w:spacing w:line="240" w:lineRule="auto"/>
        <w:ind w:left="426"/>
        <w:contextualSpacing/>
        <w:jc w:val="both"/>
        <w:rPr>
          <w:rFonts w:ascii="Times New Roman" w:eastAsia="Times New Roman" w:hAnsi="Times New Roman" w:cs="Times New Roman"/>
          <w:i/>
          <w:color w:val="808080" w:themeColor="background1" w:themeShade="80"/>
          <w:lang w:eastAsia="en-GB"/>
        </w:rPr>
      </w:pPr>
    </w:p>
    <w:p w:rsidR="007C57C8" w:rsidRDefault="00FC10AC"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Specify </w:t>
      </w:r>
      <w:r w:rsidR="007C57C8">
        <w:rPr>
          <w:rFonts w:ascii="Times New Roman" w:hAnsi="Times New Roman" w:cs="Times New Roman"/>
          <w:sz w:val="24"/>
          <w:szCs w:val="24"/>
        </w:rPr>
        <w:t>the level of</w:t>
      </w:r>
      <w:r w:rsidR="009A0440">
        <w:rPr>
          <w:rFonts w:ascii="Times New Roman" w:hAnsi="Times New Roman" w:cs="Times New Roman"/>
          <w:sz w:val="24"/>
          <w:szCs w:val="24"/>
        </w:rPr>
        <w:t xml:space="preserve"> </w:t>
      </w:r>
      <w:r w:rsidR="007C57C8">
        <w:rPr>
          <w:rFonts w:ascii="Times New Roman" w:hAnsi="Times New Roman" w:cs="Times New Roman"/>
          <w:sz w:val="24"/>
          <w:szCs w:val="24"/>
        </w:rPr>
        <w:t xml:space="preserve">assets under management </w:t>
      </w:r>
      <w:r w:rsidR="00B806A4">
        <w:rPr>
          <w:rFonts w:ascii="Times New Roman" w:hAnsi="Times New Roman" w:cs="Times New Roman"/>
          <w:sz w:val="24"/>
          <w:szCs w:val="24"/>
        </w:rPr>
        <w:t xml:space="preserve">for AIFs </w:t>
      </w:r>
      <w:r w:rsidR="007C57C8">
        <w:rPr>
          <w:rFonts w:ascii="Times New Roman" w:hAnsi="Times New Roman" w:cs="Times New Roman"/>
          <w:sz w:val="24"/>
          <w:szCs w:val="24"/>
        </w:rPr>
        <w:t>by the AIFM</w:t>
      </w:r>
      <w:r w:rsidR="00714980">
        <w:rPr>
          <w:rFonts w:ascii="Times New Roman" w:hAnsi="Times New Roman" w:cs="Times New Roman"/>
          <w:sz w:val="24"/>
          <w:szCs w:val="24"/>
        </w:rPr>
        <w:t>.</w:t>
      </w:r>
      <w:r w:rsidR="007C57C8">
        <w:rPr>
          <w:rFonts w:ascii="Times New Roman" w:hAnsi="Times New Roman" w:cs="Times New Roman"/>
          <w:sz w:val="24"/>
          <w:szCs w:val="24"/>
        </w:rPr>
        <w:t xml:space="preserve"> </w:t>
      </w:r>
    </w:p>
    <w:p w:rsidR="007C57C8" w:rsidRDefault="007C57C8" w:rsidP="007C57C8">
      <w:pPr>
        <w:pStyle w:val="ListParagraph"/>
        <w:spacing w:after="0" w:line="240" w:lineRule="auto"/>
        <w:ind w:left="426"/>
        <w:jc w:val="both"/>
        <w:rPr>
          <w:rFonts w:ascii="Times New Roman" w:hAnsi="Times New Roman" w:cs="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7C57C8" w:rsidRPr="00421D5D" w:rsidTr="00334365">
        <w:trPr>
          <w:trHeight w:val="276"/>
        </w:trPr>
        <w:tc>
          <w:tcPr>
            <w:tcW w:w="8930" w:type="dxa"/>
            <w:vMerge w:val="restart"/>
            <w:shd w:val="clear" w:color="000000" w:fill="FFFF00"/>
            <w:hideMark/>
          </w:tcPr>
          <w:p w:rsidR="007C57C8" w:rsidRPr="00421D5D" w:rsidRDefault="00E8328D" w:rsidP="00C05CF7">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C05CF7">
              <w:rPr>
                <w:rFonts w:ascii="Arial" w:hAnsi="Arial"/>
                <w:szCs w:val="24"/>
              </w:rPr>
              <w:t> </w:t>
            </w:r>
            <w:r w:rsidR="00C05CF7">
              <w:rPr>
                <w:rFonts w:ascii="Arial" w:hAnsi="Arial"/>
                <w:szCs w:val="24"/>
              </w:rPr>
              <w:t> </w:t>
            </w:r>
            <w:r w:rsidR="00C05CF7">
              <w:rPr>
                <w:rFonts w:ascii="Arial" w:hAnsi="Arial"/>
                <w:szCs w:val="24"/>
              </w:rPr>
              <w:t> </w:t>
            </w:r>
            <w:r w:rsidR="00C05CF7">
              <w:rPr>
                <w:rFonts w:ascii="Arial" w:hAnsi="Arial"/>
                <w:szCs w:val="24"/>
              </w:rPr>
              <w:t> </w:t>
            </w:r>
            <w:r w:rsidR="00C05CF7">
              <w:rPr>
                <w:rFonts w:ascii="Arial" w:hAnsi="Arial"/>
                <w:szCs w:val="24"/>
              </w:rPr>
              <w:t> </w:t>
            </w:r>
            <w:r w:rsidRPr="00C37340">
              <w:rPr>
                <w:rFonts w:ascii="Arial" w:hAnsi="Arial"/>
                <w:szCs w:val="24"/>
              </w:rPr>
              <w:fldChar w:fldCharType="end"/>
            </w:r>
          </w:p>
        </w:tc>
      </w:tr>
      <w:tr w:rsidR="007C57C8" w:rsidRPr="00421D5D" w:rsidTr="00334365">
        <w:trPr>
          <w:trHeight w:val="276"/>
        </w:trPr>
        <w:tc>
          <w:tcPr>
            <w:tcW w:w="8930" w:type="dxa"/>
            <w:vMerge/>
            <w:vAlign w:val="center"/>
            <w:hideMark/>
          </w:tcPr>
          <w:p w:rsidR="007C57C8" w:rsidRPr="00421D5D" w:rsidRDefault="007C57C8" w:rsidP="00334365">
            <w:pPr>
              <w:spacing w:after="0" w:line="240" w:lineRule="auto"/>
              <w:jc w:val="both"/>
              <w:rPr>
                <w:rFonts w:ascii="Times New Roman" w:eastAsia="Times New Roman" w:hAnsi="Times New Roman" w:cs="Times New Roman"/>
                <w:sz w:val="24"/>
                <w:szCs w:val="24"/>
                <w:lang w:eastAsia="en-GB"/>
              </w:rPr>
            </w:pPr>
          </w:p>
        </w:tc>
      </w:tr>
    </w:tbl>
    <w:p w:rsidR="007C57C8" w:rsidRDefault="007C57C8" w:rsidP="007C57C8">
      <w:pPr>
        <w:pStyle w:val="ListParagraph"/>
        <w:spacing w:after="0" w:line="240" w:lineRule="auto"/>
        <w:ind w:left="426"/>
        <w:jc w:val="both"/>
        <w:rPr>
          <w:rFonts w:ascii="Times New Roman" w:hAnsi="Times New Roman" w:cs="Times New Roman"/>
          <w:sz w:val="24"/>
          <w:szCs w:val="24"/>
        </w:rPr>
      </w:pPr>
    </w:p>
    <w:p w:rsidR="00BF70E7" w:rsidRPr="00421D5D" w:rsidRDefault="00BF70E7"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421D5D">
        <w:rPr>
          <w:rFonts w:ascii="Times New Roman" w:hAnsi="Times New Roman" w:cs="Times New Roman"/>
          <w:sz w:val="24"/>
          <w:szCs w:val="24"/>
        </w:rPr>
        <w:t xml:space="preserve">Specify whether the AIFM is required to be authorised in terms of the Directive or whether the AIFM </w:t>
      </w:r>
      <w:r w:rsidR="00421D5D">
        <w:rPr>
          <w:rFonts w:ascii="Times New Roman" w:hAnsi="Times New Roman" w:cs="Times New Roman"/>
          <w:sz w:val="24"/>
          <w:szCs w:val="24"/>
        </w:rPr>
        <w:t xml:space="preserve">qualifies for an exemption </w:t>
      </w:r>
      <w:r w:rsidRPr="00421D5D">
        <w:rPr>
          <w:rFonts w:ascii="Times New Roman" w:hAnsi="Times New Roman" w:cs="Times New Roman"/>
          <w:sz w:val="24"/>
          <w:szCs w:val="24"/>
        </w:rPr>
        <w:t xml:space="preserve">as set out in the Directive but is opting in, pursuant to Article 3(4) of the Directive.   </w:t>
      </w:r>
    </w:p>
    <w:p w:rsidR="00BF70E7" w:rsidRPr="00421D5D" w:rsidRDefault="00BF70E7" w:rsidP="00BF70E7">
      <w:pPr>
        <w:pStyle w:val="ListParagraph"/>
        <w:spacing w:after="0" w:line="240" w:lineRule="auto"/>
        <w:ind w:left="426"/>
        <w:jc w:val="both"/>
        <w:rPr>
          <w:rFonts w:ascii="Times New Roman" w:hAnsi="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BF70E7" w:rsidRPr="00421D5D" w:rsidTr="00421D5D">
        <w:trPr>
          <w:trHeight w:val="276"/>
        </w:trPr>
        <w:tc>
          <w:tcPr>
            <w:tcW w:w="8930" w:type="dxa"/>
            <w:vMerge w:val="restart"/>
            <w:shd w:val="clear" w:color="000000" w:fill="FFFF00"/>
            <w:hideMark/>
          </w:tcPr>
          <w:p w:rsidR="00BF70E7" w:rsidRPr="00421D5D" w:rsidRDefault="00E8328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F70E7" w:rsidRPr="00421D5D" w:rsidTr="00421D5D">
        <w:trPr>
          <w:trHeight w:val="276"/>
        </w:trPr>
        <w:tc>
          <w:tcPr>
            <w:tcW w:w="8930" w:type="dxa"/>
            <w:vMerge/>
            <w:vAlign w:val="center"/>
            <w:hideMark/>
          </w:tcPr>
          <w:p w:rsidR="00BF70E7" w:rsidRPr="00421D5D" w:rsidRDefault="00BF70E7" w:rsidP="00AE252A">
            <w:pPr>
              <w:spacing w:after="0" w:line="240" w:lineRule="auto"/>
              <w:jc w:val="both"/>
              <w:rPr>
                <w:rFonts w:ascii="Times New Roman" w:eastAsia="Times New Roman" w:hAnsi="Times New Roman" w:cs="Times New Roman"/>
                <w:sz w:val="24"/>
                <w:szCs w:val="24"/>
                <w:lang w:eastAsia="en-GB"/>
              </w:rPr>
            </w:pPr>
          </w:p>
        </w:tc>
      </w:tr>
    </w:tbl>
    <w:p w:rsidR="00BF70E7" w:rsidRPr="00421D5D" w:rsidRDefault="00BF70E7" w:rsidP="00BF70E7">
      <w:pPr>
        <w:pStyle w:val="ListParagraph"/>
        <w:spacing w:after="0" w:line="240" w:lineRule="auto"/>
        <w:ind w:left="426"/>
        <w:jc w:val="both"/>
        <w:rPr>
          <w:rFonts w:ascii="Times New Roman" w:hAnsi="Times New Roman"/>
          <w:sz w:val="24"/>
          <w:szCs w:val="24"/>
        </w:rPr>
      </w:pPr>
    </w:p>
    <w:p w:rsidR="00BF70E7" w:rsidRPr="00B3631C" w:rsidRDefault="00BF70E7"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A02B31">
        <w:rPr>
          <w:rFonts w:ascii="Times New Roman" w:hAnsi="Times New Roman" w:cs="Times New Roman"/>
          <w:sz w:val="24"/>
          <w:szCs w:val="24"/>
        </w:rPr>
        <w:t xml:space="preserve">Specify whether the Licence Holder intends to continue providing all services as indicated in the </w:t>
      </w:r>
      <w:r w:rsidR="00714980" w:rsidRPr="00A02B31">
        <w:rPr>
          <w:rFonts w:ascii="Times New Roman" w:hAnsi="Times New Roman" w:cs="Times New Roman"/>
          <w:sz w:val="24"/>
          <w:szCs w:val="24"/>
        </w:rPr>
        <w:t xml:space="preserve">current </w:t>
      </w:r>
      <w:r w:rsidRPr="00A02B31">
        <w:rPr>
          <w:rFonts w:ascii="Times New Roman" w:hAnsi="Times New Roman" w:cs="Times New Roman"/>
          <w:sz w:val="24"/>
          <w:szCs w:val="24"/>
        </w:rPr>
        <w:t>licence</w:t>
      </w:r>
      <w:r w:rsidR="00E44AF1" w:rsidRPr="00A02B31">
        <w:rPr>
          <w:rFonts w:ascii="Times New Roman" w:hAnsi="Times New Roman" w:cs="Times New Roman"/>
          <w:sz w:val="24"/>
          <w:szCs w:val="24"/>
        </w:rPr>
        <w:t xml:space="preserve"> identifying any changes where applicable</w:t>
      </w:r>
      <w:r w:rsidRPr="00A02B31">
        <w:rPr>
          <w:rFonts w:ascii="Times New Roman" w:hAnsi="Times New Roman" w:cs="Times New Roman"/>
          <w:sz w:val="24"/>
          <w:szCs w:val="24"/>
        </w:rPr>
        <w:t xml:space="preserve">.  </w:t>
      </w:r>
    </w:p>
    <w:p w:rsidR="00BF70E7" w:rsidRPr="00421D5D" w:rsidRDefault="00BF70E7" w:rsidP="00BF70E7">
      <w:pPr>
        <w:pStyle w:val="ListParagraph"/>
        <w:spacing w:after="0" w:line="240" w:lineRule="auto"/>
        <w:ind w:left="426"/>
        <w:jc w:val="both"/>
        <w:rPr>
          <w:rFonts w:ascii="Times New Roman" w:hAnsi="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BF70E7" w:rsidRPr="00421D5D" w:rsidTr="00421D5D">
        <w:trPr>
          <w:trHeight w:val="276"/>
        </w:trPr>
        <w:tc>
          <w:tcPr>
            <w:tcW w:w="8930" w:type="dxa"/>
            <w:vMerge w:val="restart"/>
            <w:shd w:val="clear" w:color="000000" w:fill="FFFF00"/>
            <w:hideMark/>
          </w:tcPr>
          <w:p w:rsidR="00BF70E7" w:rsidRDefault="00E8328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C57C8" w:rsidRPr="00421D5D" w:rsidRDefault="007C57C8" w:rsidP="00AE252A">
            <w:pPr>
              <w:spacing w:after="0" w:line="240" w:lineRule="auto"/>
              <w:jc w:val="both"/>
              <w:rPr>
                <w:rFonts w:ascii="Times New Roman" w:eastAsia="Times New Roman" w:hAnsi="Times New Roman" w:cs="Times New Roman"/>
                <w:sz w:val="24"/>
                <w:szCs w:val="24"/>
                <w:lang w:eastAsia="en-GB"/>
              </w:rPr>
            </w:pPr>
          </w:p>
        </w:tc>
      </w:tr>
      <w:tr w:rsidR="00BF70E7" w:rsidRPr="00421D5D" w:rsidTr="00421D5D">
        <w:trPr>
          <w:trHeight w:val="276"/>
        </w:trPr>
        <w:tc>
          <w:tcPr>
            <w:tcW w:w="8930" w:type="dxa"/>
            <w:vMerge/>
            <w:vAlign w:val="center"/>
            <w:hideMark/>
          </w:tcPr>
          <w:p w:rsidR="00BF70E7" w:rsidRPr="00421D5D" w:rsidRDefault="00BF70E7" w:rsidP="00AE252A">
            <w:pPr>
              <w:spacing w:after="0" w:line="240" w:lineRule="auto"/>
              <w:jc w:val="both"/>
              <w:rPr>
                <w:rFonts w:ascii="Times New Roman" w:eastAsia="Times New Roman" w:hAnsi="Times New Roman" w:cs="Times New Roman"/>
                <w:sz w:val="24"/>
                <w:szCs w:val="24"/>
                <w:lang w:eastAsia="en-GB"/>
              </w:rPr>
            </w:pPr>
          </w:p>
        </w:tc>
      </w:tr>
    </w:tbl>
    <w:p w:rsidR="00421D5D" w:rsidRPr="00421D5D" w:rsidRDefault="00421D5D" w:rsidP="00421D5D">
      <w:pPr>
        <w:pStyle w:val="ListParagraph"/>
        <w:spacing w:after="0" w:line="240" w:lineRule="auto"/>
        <w:ind w:left="426"/>
        <w:jc w:val="both"/>
        <w:rPr>
          <w:rFonts w:ascii="Times New Roman" w:hAnsi="Times New Roman" w:cs="Times New Roman"/>
          <w:sz w:val="24"/>
          <w:szCs w:val="24"/>
        </w:rPr>
      </w:pPr>
    </w:p>
    <w:p w:rsidR="00421D5D" w:rsidRPr="00421D5D" w:rsidRDefault="00421D5D"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421D5D">
        <w:rPr>
          <w:rFonts w:ascii="Times New Roman" w:hAnsi="Times New Roman" w:cs="Times New Roman"/>
          <w:sz w:val="24"/>
          <w:szCs w:val="24"/>
        </w:rPr>
        <w:t xml:space="preserve">In case of any </w:t>
      </w:r>
      <w:r w:rsidR="00E44AF1">
        <w:rPr>
          <w:rFonts w:ascii="Times New Roman" w:hAnsi="Times New Roman" w:cs="Times New Roman"/>
          <w:sz w:val="24"/>
          <w:szCs w:val="24"/>
        </w:rPr>
        <w:t xml:space="preserve">new </w:t>
      </w:r>
      <w:r w:rsidRPr="00421D5D">
        <w:rPr>
          <w:rFonts w:ascii="Times New Roman" w:hAnsi="Times New Roman" w:cs="Times New Roman"/>
          <w:sz w:val="24"/>
          <w:szCs w:val="24"/>
        </w:rPr>
        <w:t xml:space="preserve">activities </w:t>
      </w:r>
      <w:r w:rsidR="00E44AF1">
        <w:rPr>
          <w:rFonts w:ascii="Times New Roman" w:hAnsi="Times New Roman" w:cs="Times New Roman"/>
          <w:sz w:val="24"/>
          <w:szCs w:val="24"/>
        </w:rPr>
        <w:t xml:space="preserve">and/or activities </w:t>
      </w:r>
      <w:r w:rsidRPr="00421D5D">
        <w:rPr>
          <w:rFonts w:ascii="Times New Roman" w:hAnsi="Times New Roman" w:cs="Times New Roman"/>
          <w:sz w:val="24"/>
          <w:szCs w:val="24"/>
        </w:rPr>
        <w:t xml:space="preserve">currently undertaken by the </w:t>
      </w:r>
      <w:r w:rsidR="00E44AF1">
        <w:rPr>
          <w:rFonts w:ascii="Times New Roman" w:hAnsi="Times New Roman" w:cs="Times New Roman"/>
          <w:sz w:val="24"/>
          <w:szCs w:val="24"/>
        </w:rPr>
        <w:t xml:space="preserve">Licence Holder </w:t>
      </w:r>
      <w:r w:rsidRPr="00421D5D">
        <w:rPr>
          <w:rFonts w:ascii="Times New Roman" w:hAnsi="Times New Roman" w:cs="Times New Roman"/>
          <w:sz w:val="24"/>
          <w:szCs w:val="24"/>
        </w:rPr>
        <w:t xml:space="preserve">that are not in line with the permitted activities applicable for AIFMs, </w:t>
      </w:r>
      <w:r w:rsidR="0011181C">
        <w:rPr>
          <w:rFonts w:ascii="Times New Roman" w:hAnsi="Times New Roman" w:cs="Times New Roman"/>
          <w:sz w:val="24"/>
          <w:szCs w:val="24"/>
        </w:rPr>
        <w:t xml:space="preserve">please </w:t>
      </w:r>
      <w:r w:rsidRPr="00421D5D">
        <w:rPr>
          <w:rFonts w:ascii="Times New Roman" w:hAnsi="Times New Roman" w:cs="Times New Roman"/>
          <w:sz w:val="24"/>
          <w:szCs w:val="24"/>
        </w:rPr>
        <w:t xml:space="preserve">outline the changes </w:t>
      </w:r>
      <w:r w:rsidR="00EA2CC5">
        <w:rPr>
          <w:rFonts w:ascii="Times New Roman" w:hAnsi="Times New Roman" w:cs="Times New Roman"/>
          <w:sz w:val="24"/>
          <w:szCs w:val="24"/>
        </w:rPr>
        <w:t>in terms of operational a</w:t>
      </w:r>
      <w:r w:rsidRPr="00421D5D">
        <w:rPr>
          <w:rFonts w:ascii="Times New Roman" w:hAnsi="Times New Roman" w:cs="Times New Roman"/>
          <w:sz w:val="24"/>
          <w:szCs w:val="24"/>
        </w:rPr>
        <w:t xml:space="preserve">rrangements to be implemented by the </w:t>
      </w:r>
      <w:r w:rsidR="0011181C">
        <w:rPr>
          <w:rFonts w:ascii="Times New Roman" w:hAnsi="Times New Roman" w:cs="Times New Roman"/>
          <w:sz w:val="24"/>
          <w:szCs w:val="24"/>
        </w:rPr>
        <w:t>Licence Holder</w:t>
      </w:r>
      <w:r w:rsidR="00153387">
        <w:rPr>
          <w:rFonts w:ascii="Times New Roman" w:hAnsi="Times New Roman" w:cs="Times New Roman"/>
          <w:sz w:val="24"/>
          <w:szCs w:val="24"/>
        </w:rPr>
        <w:t>, as applicable</w:t>
      </w:r>
      <w:r w:rsidRPr="00421D5D">
        <w:rPr>
          <w:rFonts w:ascii="Times New Roman" w:hAnsi="Times New Roman" w:cs="Times New Roman"/>
          <w:sz w:val="24"/>
          <w:szCs w:val="24"/>
        </w:rPr>
        <w:t xml:space="preserve">.  </w:t>
      </w:r>
    </w:p>
    <w:p w:rsidR="00421D5D" w:rsidRDefault="00421D5D" w:rsidP="00421D5D">
      <w:pPr>
        <w:pStyle w:val="ListParagraph"/>
        <w:spacing w:after="0" w:line="240" w:lineRule="auto"/>
        <w:ind w:left="426"/>
        <w:jc w:val="both"/>
        <w:rPr>
          <w:rFonts w:ascii="Times New Roman" w:hAnsi="Times New Roman" w:cs="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930"/>
      </w:tblGrid>
      <w:tr w:rsidR="00421D5D" w:rsidRPr="0024496C" w:rsidTr="00421D5D">
        <w:trPr>
          <w:trHeight w:val="207"/>
        </w:trPr>
        <w:tc>
          <w:tcPr>
            <w:tcW w:w="8930" w:type="dxa"/>
            <w:vMerge w:val="restart"/>
            <w:tcBorders>
              <w:top w:val="single" w:sz="8" w:space="0" w:color="auto"/>
            </w:tcBorders>
            <w:shd w:val="clear" w:color="000000" w:fill="FFFF00"/>
          </w:tcPr>
          <w:p w:rsidR="00421D5D" w:rsidRPr="0024496C" w:rsidRDefault="00E8328D" w:rsidP="00AE252A">
            <w:pPr>
              <w:spacing w:after="0" w:line="240" w:lineRule="auto"/>
              <w:jc w:val="both"/>
              <w:rPr>
                <w:rFonts w:ascii="Times New Roman" w:hAnsi="Times New Roman"/>
                <w:sz w:val="18"/>
                <w:szCs w:val="18"/>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1D5D" w:rsidRPr="0024496C" w:rsidTr="00421D5D">
        <w:trPr>
          <w:trHeight w:val="509"/>
        </w:trPr>
        <w:tc>
          <w:tcPr>
            <w:tcW w:w="8930" w:type="dxa"/>
            <w:vMerge/>
            <w:tcBorders>
              <w:bottom w:val="single" w:sz="4" w:space="0" w:color="auto"/>
            </w:tcBorders>
            <w:vAlign w:val="center"/>
          </w:tcPr>
          <w:p w:rsidR="00421D5D" w:rsidRPr="0024496C" w:rsidRDefault="00421D5D" w:rsidP="00AE252A">
            <w:pPr>
              <w:spacing w:after="0" w:line="240" w:lineRule="auto"/>
              <w:jc w:val="both"/>
              <w:rPr>
                <w:rFonts w:ascii="Times New Roman" w:hAnsi="Times New Roman"/>
                <w:sz w:val="18"/>
                <w:szCs w:val="18"/>
                <w:lang w:eastAsia="en-GB"/>
              </w:rPr>
            </w:pPr>
          </w:p>
        </w:tc>
      </w:tr>
    </w:tbl>
    <w:p w:rsidR="00E8328D" w:rsidRDefault="00E8328D" w:rsidP="009A0440">
      <w:pPr>
        <w:pStyle w:val="ListParagraph"/>
        <w:spacing w:after="0" w:line="240" w:lineRule="auto"/>
        <w:ind w:left="426"/>
        <w:jc w:val="both"/>
        <w:rPr>
          <w:rFonts w:ascii="Times New Roman" w:hAnsi="Times New Roman" w:cs="Times New Roman"/>
          <w:sz w:val="24"/>
          <w:szCs w:val="24"/>
        </w:rPr>
      </w:pPr>
    </w:p>
    <w:p w:rsidR="00421D5D" w:rsidRPr="00001632" w:rsidRDefault="00001632"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001632">
        <w:rPr>
          <w:rFonts w:ascii="Times New Roman" w:hAnsi="Times New Roman" w:cs="Times New Roman"/>
          <w:sz w:val="24"/>
          <w:szCs w:val="24"/>
        </w:rPr>
        <w:t xml:space="preserve">Specify from the table below the range of services that will be provided by the AIFM.  [Article 6(2) and (4) of the Directive </w:t>
      </w:r>
      <w:r w:rsidR="00F21171">
        <w:rPr>
          <w:rFonts w:ascii="Times New Roman" w:hAnsi="Times New Roman" w:cs="Times New Roman"/>
          <w:sz w:val="24"/>
          <w:szCs w:val="24"/>
        </w:rPr>
        <w:t>detail</w:t>
      </w:r>
      <w:r w:rsidRPr="00001632">
        <w:rPr>
          <w:rFonts w:ascii="Times New Roman" w:hAnsi="Times New Roman" w:cs="Times New Roman"/>
          <w:sz w:val="24"/>
          <w:szCs w:val="24"/>
        </w:rPr>
        <w:t xml:space="preserve"> the range of activities that an AIFM is permitted to undertake].</w:t>
      </w:r>
    </w:p>
    <w:p w:rsidR="00421D5D" w:rsidRPr="00001632" w:rsidRDefault="00421D5D" w:rsidP="00421D5D">
      <w:pPr>
        <w:pStyle w:val="ListParagraph"/>
        <w:spacing w:after="0" w:line="240" w:lineRule="auto"/>
        <w:ind w:left="426"/>
        <w:jc w:val="both"/>
        <w:rPr>
          <w:rFonts w:ascii="Times New Roman" w:hAnsi="Times New Roman" w:cs="Times New Roman"/>
          <w:sz w:val="24"/>
          <w:szCs w:val="24"/>
        </w:rPr>
      </w:pPr>
    </w:p>
    <w:tbl>
      <w:tblPr>
        <w:tblStyle w:val="TableGrid"/>
        <w:tblW w:w="7361" w:type="dxa"/>
        <w:jc w:val="center"/>
        <w:tblInd w:w="534" w:type="dxa"/>
        <w:tblLayout w:type="fixed"/>
        <w:tblLook w:val="04A0" w:firstRow="1" w:lastRow="0" w:firstColumn="1" w:lastColumn="0" w:noHBand="0" w:noVBand="1"/>
      </w:tblPr>
      <w:tblGrid>
        <w:gridCol w:w="1867"/>
        <w:gridCol w:w="567"/>
        <w:gridCol w:w="567"/>
        <w:gridCol w:w="567"/>
        <w:gridCol w:w="1134"/>
        <w:gridCol w:w="605"/>
        <w:gridCol w:w="1380"/>
        <w:gridCol w:w="674"/>
      </w:tblGrid>
      <w:tr w:rsidR="005C681B" w:rsidTr="00290F73">
        <w:trPr>
          <w:cantSplit/>
          <w:trHeight w:val="2975"/>
          <w:jc w:val="center"/>
        </w:trPr>
        <w:tc>
          <w:tcPr>
            <w:tcW w:w="1867" w:type="dxa"/>
            <w:shd w:val="clear" w:color="auto" w:fill="F2F2F2" w:themeFill="background1" w:themeFillShade="F2"/>
          </w:tcPr>
          <w:p w:rsidR="00001632" w:rsidRDefault="00001632" w:rsidP="00AE252A"/>
        </w:tc>
        <w:tc>
          <w:tcPr>
            <w:tcW w:w="567" w:type="dxa"/>
            <w:textDirection w:val="btLr"/>
            <w:vAlign w:val="center"/>
          </w:tcPr>
          <w:p w:rsidR="004055A1" w:rsidRDefault="004055A1" w:rsidP="00AE252A">
            <w:pPr>
              <w:ind w:left="113" w:right="113"/>
              <w:rPr>
                <w:b/>
                <w:bCs/>
                <w:color w:val="000000"/>
                <w:sz w:val="20"/>
                <w:szCs w:val="20"/>
              </w:rPr>
            </w:pPr>
          </w:p>
          <w:p w:rsidR="00001632" w:rsidRPr="00557B9E" w:rsidRDefault="00001632" w:rsidP="00AE252A">
            <w:pPr>
              <w:ind w:left="113" w:right="113"/>
              <w:rPr>
                <w:b/>
                <w:bCs/>
                <w:color w:val="000000"/>
                <w:sz w:val="20"/>
                <w:szCs w:val="20"/>
              </w:rPr>
            </w:pPr>
            <w:r w:rsidRPr="00557B9E">
              <w:rPr>
                <w:b/>
                <w:bCs/>
                <w:color w:val="000000"/>
                <w:sz w:val="20"/>
                <w:szCs w:val="20"/>
              </w:rPr>
              <w:t>Portfolio Management</w:t>
            </w:r>
          </w:p>
          <w:p w:rsidR="00001632" w:rsidRPr="00557B9E" w:rsidRDefault="00001632" w:rsidP="00AE252A">
            <w:pPr>
              <w:ind w:left="113" w:right="113"/>
              <w:rPr>
                <w:sz w:val="20"/>
                <w:szCs w:val="20"/>
              </w:rPr>
            </w:pPr>
          </w:p>
        </w:tc>
        <w:tc>
          <w:tcPr>
            <w:tcW w:w="567" w:type="dxa"/>
            <w:textDirection w:val="btLr"/>
            <w:vAlign w:val="center"/>
          </w:tcPr>
          <w:p w:rsidR="004055A1" w:rsidRDefault="004055A1" w:rsidP="00AE252A">
            <w:pPr>
              <w:ind w:left="113" w:right="113"/>
              <w:rPr>
                <w:b/>
                <w:bCs/>
                <w:color w:val="000000"/>
                <w:sz w:val="20"/>
                <w:szCs w:val="20"/>
              </w:rPr>
            </w:pPr>
          </w:p>
          <w:p w:rsidR="00001632" w:rsidRPr="00557B9E" w:rsidRDefault="00001632" w:rsidP="00AE252A">
            <w:pPr>
              <w:ind w:left="113" w:right="113"/>
              <w:rPr>
                <w:b/>
                <w:bCs/>
                <w:color w:val="000000"/>
                <w:sz w:val="20"/>
                <w:szCs w:val="20"/>
              </w:rPr>
            </w:pPr>
            <w:r w:rsidRPr="00557B9E">
              <w:rPr>
                <w:b/>
                <w:bCs/>
                <w:color w:val="000000"/>
                <w:sz w:val="20"/>
                <w:szCs w:val="20"/>
              </w:rPr>
              <w:t>Risk Management</w:t>
            </w:r>
          </w:p>
          <w:p w:rsidR="00001632" w:rsidRPr="00557B9E" w:rsidRDefault="00001632" w:rsidP="00AE252A">
            <w:pPr>
              <w:ind w:left="113" w:right="113"/>
              <w:rPr>
                <w:sz w:val="20"/>
                <w:szCs w:val="20"/>
              </w:rPr>
            </w:pPr>
          </w:p>
        </w:tc>
        <w:tc>
          <w:tcPr>
            <w:tcW w:w="567" w:type="dxa"/>
            <w:textDirection w:val="btLr"/>
            <w:vAlign w:val="center"/>
          </w:tcPr>
          <w:p w:rsidR="004055A1" w:rsidRDefault="004055A1" w:rsidP="00AE252A">
            <w:pPr>
              <w:ind w:left="113" w:right="113"/>
              <w:rPr>
                <w:b/>
                <w:bCs/>
                <w:color w:val="000000"/>
                <w:sz w:val="20"/>
                <w:szCs w:val="20"/>
              </w:rPr>
            </w:pPr>
          </w:p>
          <w:p w:rsidR="00001632" w:rsidRPr="00557B9E" w:rsidRDefault="00001632" w:rsidP="00AE252A">
            <w:pPr>
              <w:ind w:left="113" w:right="113"/>
              <w:rPr>
                <w:b/>
                <w:bCs/>
                <w:color w:val="000000"/>
                <w:sz w:val="20"/>
                <w:szCs w:val="20"/>
              </w:rPr>
            </w:pPr>
            <w:r w:rsidRPr="00557B9E">
              <w:rPr>
                <w:b/>
                <w:bCs/>
                <w:color w:val="000000"/>
                <w:sz w:val="20"/>
                <w:szCs w:val="20"/>
              </w:rPr>
              <w:t>Management of UCITS Schemes</w:t>
            </w:r>
          </w:p>
          <w:p w:rsidR="00001632" w:rsidRPr="00557B9E" w:rsidRDefault="00001632" w:rsidP="00AE252A">
            <w:pPr>
              <w:ind w:left="113" w:right="113"/>
              <w:rPr>
                <w:sz w:val="20"/>
                <w:szCs w:val="20"/>
              </w:rPr>
            </w:pPr>
          </w:p>
        </w:tc>
        <w:tc>
          <w:tcPr>
            <w:tcW w:w="1134" w:type="dxa"/>
            <w:textDirection w:val="btLr"/>
            <w:vAlign w:val="center"/>
          </w:tcPr>
          <w:p w:rsidR="004055A1" w:rsidRDefault="004055A1" w:rsidP="00AE252A">
            <w:pPr>
              <w:ind w:left="113" w:right="113"/>
              <w:rPr>
                <w:b/>
                <w:bCs/>
                <w:color w:val="000000"/>
                <w:sz w:val="20"/>
                <w:szCs w:val="20"/>
              </w:rPr>
            </w:pPr>
          </w:p>
          <w:p w:rsidR="00001632" w:rsidRPr="00557B9E" w:rsidRDefault="00001632" w:rsidP="00AE252A">
            <w:pPr>
              <w:ind w:left="113" w:right="113"/>
              <w:rPr>
                <w:b/>
                <w:bCs/>
                <w:color w:val="000000"/>
                <w:sz w:val="20"/>
                <w:szCs w:val="20"/>
              </w:rPr>
            </w:pPr>
            <w:r w:rsidRPr="00557B9E">
              <w:rPr>
                <w:b/>
                <w:bCs/>
                <w:color w:val="000000"/>
                <w:sz w:val="20"/>
                <w:szCs w:val="20"/>
              </w:rPr>
              <w:t xml:space="preserve">Management of Portfolios of </w:t>
            </w:r>
            <w:r w:rsidR="00252913">
              <w:rPr>
                <w:b/>
                <w:bCs/>
                <w:color w:val="000000"/>
                <w:sz w:val="20"/>
                <w:szCs w:val="20"/>
              </w:rPr>
              <w:t>I</w:t>
            </w:r>
            <w:r w:rsidRPr="00557B9E">
              <w:rPr>
                <w:b/>
                <w:bCs/>
                <w:color w:val="000000"/>
                <w:sz w:val="20"/>
                <w:szCs w:val="20"/>
              </w:rPr>
              <w:t>nvestments on a client-by client basis</w:t>
            </w:r>
          </w:p>
          <w:p w:rsidR="00001632" w:rsidRPr="00557B9E" w:rsidRDefault="00001632" w:rsidP="00AE252A">
            <w:pPr>
              <w:ind w:left="113" w:right="113"/>
              <w:rPr>
                <w:sz w:val="20"/>
                <w:szCs w:val="20"/>
              </w:rPr>
            </w:pPr>
          </w:p>
        </w:tc>
        <w:tc>
          <w:tcPr>
            <w:tcW w:w="605" w:type="dxa"/>
            <w:textDirection w:val="btLr"/>
            <w:vAlign w:val="center"/>
          </w:tcPr>
          <w:p w:rsidR="00001632" w:rsidRPr="00557B9E" w:rsidRDefault="00001632" w:rsidP="00AE252A">
            <w:pPr>
              <w:ind w:left="113" w:right="113"/>
              <w:rPr>
                <w:b/>
                <w:bCs/>
                <w:color w:val="000000"/>
                <w:sz w:val="20"/>
                <w:szCs w:val="20"/>
              </w:rPr>
            </w:pPr>
            <w:r w:rsidRPr="00557B9E">
              <w:rPr>
                <w:b/>
                <w:bCs/>
                <w:color w:val="000000"/>
                <w:sz w:val="20"/>
                <w:szCs w:val="20"/>
              </w:rPr>
              <w:t>Investment Advice</w:t>
            </w:r>
          </w:p>
          <w:p w:rsidR="00001632" w:rsidRPr="00557B9E" w:rsidRDefault="00001632" w:rsidP="00AE252A">
            <w:pPr>
              <w:ind w:left="113" w:right="113"/>
              <w:rPr>
                <w:sz w:val="20"/>
                <w:szCs w:val="20"/>
              </w:rPr>
            </w:pPr>
          </w:p>
        </w:tc>
        <w:tc>
          <w:tcPr>
            <w:tcW w:w="1380" w:type="dxa"/>
            <w:textDirection w:val="btLr"/>
            <w:vAlign w:val="center"/>
          </w:tcPr>
          <w:p w:rsidR="004055A1" w:rsidRDefault="004055A1" w:rsidP="004055A1">
            <w:pPr>
              <w:ind w:left="113" w:right="113"/>
              <w:rPr>
                <w:b/>
                <w:bCs/>
                <w:color w:val="000000"/>
                <w:sz w:val="20"/>
                <w:szCs w:val="20"/>
              </w:rPr>
            </w:pPr>
          </w:p>
          <w:p w:rsidR="00001632" w:rsidRPr="00557B9E" w:rsidRDefault="00001632" w:rsidP="004055A1">
            <w:pPr>
              <w:ind w:left="113" w:right="113"/>
              <w:rPr>
                <w:b/>
                <w:bCs/>
                <w:color w:val="000000"/>
                <w:sz w:val="20"/>
                <w:szCs w:val="20"/>
              </w:rPr>
            </w:pPr>
            <w:r w:rsidRPr="00557B9E">
              <w:rPr>
                <w:b/>
                <w:bCs/>
                <w:color w:val="000000"/>
                <w:sz w:val="20"/>
                <w:szCs w:val="20"/>
              </w:rPr>
              <w:t xml:space="preserve">Safekeeping &amp; </w:t>
            </w:r>
            <w:r w:rsidR="00252913">
              <w:rPr>
                <w:b/>
                <w:bCs/>
                <w:color w:val="000000"/>
                <w:sz w:val="20"/>
                <w:szCs w:val="20"/>
              </w:rPr>
              <w:t>A</w:t>
            </w:r>
            <w:r w:rsidRPr="00557B9E">
              <w:rPr>
                <w:b/>
                <w:bCs/>
                <w:color w:val="000000"/>
                <w:sz w:val="20"/>
                <w:szCs w:val="20"/>
              </w:rPr>
              <w:t>dministration in relation to shares or units of collective investment undertakings</w:t>
            </w:r>
          </w:p>
          <w:p w:rsidR="00001632" w:rsidRPr="00557B9E" w:rsidRDefault="00001632" w:rsidP="00AE252A">
            <w:pPr>
              <w:ind w:left="113" w:right="113"/>
              <w:rPr>
                <w:sz w:val="20"/>
                <w:szCs w:val="20"/>
              </w:rPr>
            </w:pPr>
          </w:p>
        </w:tc>
        <w:tc>
          <w:tcPr>
            <w:tcW w:w="674" w:type="dxa"/>
            <w:textDirection w:val="btLr"/>
            <w:vAlign w:val="center"/>
          </w:tcPr>
          <w:p w:rsidR="004055A1" w:rsidRDefault="004055A1" w:rsidP="00AE252A">
            <w:pPr>
              <w:ind w:left="113" w:right="113"/>
              <w:rPr>
                <w:b/>
                <w:bCs/>
                <w:color w:val="000000"/>
                <w:sz w:val="20"/>
                <w:szCs w:val="20"/>
              </w:rPr>
            </w:pPr>
          </w:p>
          <w:p w:rsidR="00001632" w:rsidRPr="00557B9E" w:rsidRDefault="00001632" w:rsidP="00AE252A">
            <w:pPr>
              <w:ind w:left="113" w:right="113"/>
              <w:rPr>
                <w:b/>
                <w:bCs/>
                <w:color w:val="000000"/>
                <w:sz w:val="20"/>
                <w:szCs w:val="20"/>
              </w:rPr>
            </w:pPr>
            <w:r w:rsidRPr="00557B9E">
              <w:rPr>
                <w:b/>
                <w:bCs/>
                <w:color w:val="000000"/>
                <w:sz w:val="20"/>
                <w:szCs w:val="20"/>
              </w:rPr>
              <w:t>Reception and Transmission of Orders</w:t>
            </w:r>
          </w:p>
          <w:p w:rsidR="00001632" w:rsidRPr="00557B9E" w:rsidRDefault="00001632" w:rsidP="00AE252A">
            <w:pPr>
              <w:ind w:left="113" w:right="113"/>
              <w:rPr>
                <w:sz w:val="20"/>
                <w:szCs w:val="20"/>
              </w:rPr>
            </w:pPr>
          </w:p>
        </w:tc>
      </w:tr>
      <w:tr w:rsidR="005C681B" w:rsidRPr="00D03B8B" w:rsidTr="00290F73">
        <w:trPr>
          <w:trHeight w:val="545"/>
          <w:jc w:val="center"/>
        </w:trPr>
        <w:tc>
          <w:tcPr>
            <w:tcW w:w="1867" w:type="dxa"/>
            <w:vAlign w:val="center"/>
          </w:tcPr>
          <w:p w:rsidR="00001632" w:rsidRDefault="00001632" w:rsidP="00AE252A">
            <w:r>
              <w:rPr>
                <w:rFonts w:ascii="Arial" w:hAnsi="Arial" w:cs="Arial"/>
                <w:b/>
                <w:bCs/>
                <w:color w:val="000000"/>
                <w:sz w:val="18"/>
                <w:szCs w:val="18"/>
              </w:rPr>
              <w:t>Retail Client</w:t>
            </w:r>
          </w:p>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sdt>
          <w:sdtPr>
            <w:id w:val="369430871"/>
            <w14:checkbox>
              <w14:checked w14:val="0"/>
              <w14:checkedState w14:val="2612" w14:font="MS Gothic"/>
              <w14:uncheckedState w14:val="2610" w14:font="MS Gothic"/>
            </w14:checkbox>
          </w:sdtPr>
          <w:sdtEndPr/>
          <w:sdtContent>
            <w:tc>
              <w:tcPr>
                <w:tcW w:w="1134" w:type="dxa"/>
                <w:shd w:val="clear" w:color="auto" w:fill="FFFF00"/>
                <w:vAlign w:val="center"/>
              </w:tcPr>
              <w:p w:rsidR="00001632" w:rsidRDefault="00C05CF7" w:rsidP="00AE252A">
                <w:pPr>
                  <w:jc w:val="center"/>
                </w:pPr>
                <w:r>
                  <w:rPr>
                    <w:rFonts w:ascii="MS Gothic" w:eastAsia="MS Gothic" w:hAnsi="MS Gothic" w:hint="eastAsia"/>
                  </w:rPr>
                  <w:t>☐</w:t>
                </w:r>
              </w:p>
            </w:tc>
          </w:sdtContent>
        </w:sdt>
        <w:sdt>
          <w:sdtPr>
            <w:id w:val="-2109576823"/>
            <w14:checkbox>
              <w14:checked w14:val="0"/>
              <w14:checkedState w14:val="2612" w14:font="MS Gothic"/>
              <w14:uncheckedState w14:val="2610" w14:font="MS Gothic"/>
            </w14:checkbox>
          </w:sdtPr>
          <w:sdtEndPr/>
          <w:sdtContent>
            <w:tc>
              <w:tcPr>
                <w:tcW w:w="605" w:type="dxa"/>
                <w:shd w:val="clear" w:color="auto" w:fill="FFFF00"/>
                <w:vAlign w:val="center"/>
              </w:tcPr>
              <w:p w:rsidR="00001632" w:rsidRDefault="00D423C5" w:rsidP="00AE252A">
                <w:pPr>
                  <w:jc w:val="center"/>
                </w:pPr>
                <w:r>
                  <w:rPr>
                    <w:rFonts w:ascii="MS Gothic" w:eastAsia="MS Gothic" w:hAnsi="MS Gothic" w:hint="eastAsia"/>
                  </w:rPr>
                  <w:t>☐</w:t>
                </w:r>
              </w:p>
            </w:tc>
          </w:sdtContent>
        </w:sdt>
        <w:tc>
          <w:tcPr>
            <w:tcW w:w="1380" w:type="dxa"/>
            <w:shd w:val="clear" w:color="auto" w:fill="F2F2F2" w:themeFill="background1" w:themeFillShade="F2"/>
            <w:vAlign w:val="center"/>
          </w:tcPr>
          <w:p w:rsidR="00001632" w:rsidRDefault="00001632" w:rsidP="00AE252A"/>
        </w:tc>
        <w:sdt>
          <w:sdtPr>
            <w:rPr>
              <w:highlight w:val="yellow"/>
            </w:rPr>
            <w:id w:val="-41987381"/>
            <w14:checkbox>
              <w14:checked w14:val="0"/>
              <w14:checkedState w14:val="2612" w14:font="MS Gothic"/>
              <w14:uncheckedState w14:val="2610" w14:font="MS Gothic"/>
            </w14:checkbox>
          </w:sdtPr>
          <w:sdtEndPr/>
          <w:sdtContent>
            <w:tc>
              <w:tcPr>
                <w:tcW w:w="674" w:type="dxa"/>
                <w:shd w:val="clear" w:color="auto" w:fill="FFFF00"/>
                <w:vAlign w:val="center"/>
              </w:tcPr>
              <w:p w:rsidR="00001632" w:rsidRPr="00D03B8B" w:rsidRDefault="00EC1F3D" w:rsidP="00AE252A">
                <w:pPr>
                  <w:jc w:val="center"/>
                  <w:rPr>
                    <w:highlight w:val="yellow"/>
                  </w:rPr>
                </w:pPr>
                <w:r>
                  <w:rPr>
                    <w:rFonts w:ascii="MS Gothic" w:eastAsia="MS Gothic" w:hAnsi="MS Gothic" w:hint="eastAsia"/>
                    <w:highlight w:val="yellow"/>
                  </w:rPr>
                  <w:t>☐</w:t>
                </w:r>
              </w:p>
            </w:tc>
          </w:sdtContent>
        </w:sdt>
      </w:tr>
      <w:tr w:rsidR="005C681B" w:rsidRPr="00D03B8B" w:rsidTr="00290F73">
        <w:trPr>
          <w:trHeight w:val="581"/>
          <w:jc w:val="center"/>
        </w:trPr>
        <w:tc>
          <w:tcPr>
            <w:tcW w:w="1867" w:type="dxa"/>
            <w:vAlign w:val="center"/>
          </w:tcPr>
          <w:p w:rsidR="00001632" w:rsidRDefault="00001632" w:rsidP="00AE252A">
            <w:r>
              <w:rPr>
                <w:rFonts w:ascii="Arial" w:hAnsi="Arial" w:cs="Arial"/>
                <w:b/>
                <w:bCs/>
                <w:color w:val="000000"/>
                <w:sz w:val="18"/>
                <w:szCs w:val="18"/>
              </w:rPr>
              <w:t>Professional Clients (inc. CISs)</w:t>
            </w:r>
          </w:p>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tc>
          <w:tcPr>
            <w:tcW w:w="1134" w:type="dxa"/>
            <w:shd w:val="clear" w:color="auto" w:fill="F2F2F2" w:themeFill="background1" w:themeFillShade="F2"/>
            <w:vAlign w:val="center"/>
          </w:tcPr>
          <w:p w:rsidR="00001632" w:rsidRDefault="00001632" w:rsidP="00AE252A"/>
        </w:tc>
        <w:sdt>
          <w:sdtPr>
            <w:id w:val="-1757049947"/>
            <w14:checkbox>
              <w14:checked w14:val="0"/>
              <w14:checkedState w14:val="2612" w14:font="MS Gothic"/>
              <w14:uncheckedState w14:val="2610" w14:font="MS Gothic"/>
            </w14:checkbox>
          </w:sdtPr>
          <w:sdtEndPr/>
          <w:sdtContent>
            <w:tc>
              <w:tcPr>
                <w:tcW w:w="605" w:type="dxa"/>
                <w:shd w:val="clear" w:color="auto" w:fill="FFFF00"/>
                <w:vAlign w:val="center"/>
              </w:tcPr>
              <w:p w:rsidR="00001632" w:rsidRDefault="00D423C5" w:rsidP="00AE252A">
                <w:pPr>
                  <w:jc w:val="center"/>
                </w:pPr>
                <w:r>
                  <w:rPr>
                    <w:rFonts w:ascii="MS Gothic" w:eastAsia="MS Gothic" w:hAnsi="MS Gothic" w:hint="eastAsia"/>
                  </w:rPr>
                  <w:t>☐</w:t>
                </w:r>
              </w:p>
            </w:tc>
          </w:sdtContent>
        </w:sdt>
        <w:tc>
          <w:tcPr>
            <w:tcW w:w="1380" w:type="dxa"/>
            <w:shd w:val="clear" w:color="auto" w:fill="F2F2F2" w:themeFill="background1" w:themeFillShade="F2"/>
            <w:vAlign w:val="center"/>
          </w:tcPr>
          <w:p w:rsidR="00001632" w:rsidRDefault="00001632" w:rsidP="00AE252A"/>
        </w:tc>
        <w:sdt>
          <w:sdtPr>
            <w:rPr>
              <w:highlight w:val="yellow"/>
            </w:rPr>
            <w:id w:val="-1810546899"/>
            <w14:checkbox>
              <w14:checked w14:val="0"/>
              <w14:checkedState w14:val="2612" w14:font="MS Gothic"/>
              <w14:uncheckedState w14:val="2610" w14:font="MS Gothic"/>
            </w14:checkbox>
          </w:sdtPr>
          <w:sdtEndPr/>
          <w:sdtContent>
            <w:tc>
              <w:tcPr>
                <w:tcW w:w="674" w:type="dxa"/>
                <w:shd w:val="clear" w:color="auto" w:fill="FFFF00"/>
                <w:vAlign w:val="center"/>
              </w:tcPr>
              <w:p w:rsidR="00001632" w:rsidRPr="00D03B8B" w:rsidRDefault="00001632" w:rsidP="00AE252A">
                <w:pPr>
                  <w:jc w:val="center"/>
                  <w:rPr>
                    <w:highlight w:val="yellow"/>
                  </w:rPr>
                </w:pPr>
                <w:r>
                  <w:rPr>
                    <w:rFonts w:ascii="MS Gothic" w:eastAsia="MS Gothic" w:hAnsi="MS Gothic" w:hint="eastAsia"/>
                    <w:highlight w:val="yellow"/>
                  </w:rPr>
                  <w:t>☐</w:t>
                </w:r>
              </w:p>
            </w:tc>
          </w:sdtContent>
        </w:sdt>
      </w:tr>
      <w:tr w:rsidR="005C681B" w:rsidRPr="00D03B8B" w:rsidTr="00290F73">
        <w:trPr>
          <w:trHeight w:val="547"/>
          <w:jc w:val="center"/>
        </w:trPr>
        <w:tc>
          <w:tcPr>
            <w:tcW w:w="1867" w:type="dxa"/>
            <w:vAlign w:val="center"/>
          </w:tcPr>
          <w:p w:rsidR="00001632" w:rsidRDefault="00001632" w:rsidP="00AE252A">
            <w:r>
              <w:rPr>
                <w:rFonts w:ascii="Arial" w:hAnsi="Arial" w:cs="Arial"/>
                <w:b/>
                <w:bCs/>
                <w:color w:val="000000"/>
                <w:sz w:val="18"/>
                <w:szCs w:val="18"/>
              </w:rPr>
              <w:t>Professional Clients (exc. CISs)</w:t>
            </w:r>
          </w:p>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sdt>
          <w:sdtPr>
            <w:id w:val="-86154105"/>
            <w14:checkbox>
              <w14:checked w14:val="0"/>
              <w14:checkedState w14:val="2612" w14:font="MS Gothic"/>
              <w14:uncheckedState w14:val="2610" w14:font="MS Gothic"/>
            </w14:checkbox>
          </w:sdtPr>
          <w:sdtEndPr/>
          <w:sdtContent>
            <w:tc>
              <w:tcPr>
                <w:tcW w:w="1134" w:type="dxa"/>
                <w:shd w:val="clear" w:color="auto" w:fill="FFFF00"/>
                <w:vAlign w:val="center"/>
              </w:tcPr>
              <w:p w:rsidR="00001632" w:rsidRDefault="00130FCA" w:rsidP="00AE252A">
                <w:pPr>
                  <w:jc w:val="center"/>
                </w:pPr>
                <w:r>
                  <w:rPr>
                    <w:rFonts w:ascii="MS Gothic" w:eastAsia="MS Gothic" w:hAnsi="MS Gothic" w:hint="eastAsia"/>
                  </w:rPr>
                  <w:t>☐</w:t>
                </w:r>
              </w:p>
            </w:tc>
          </w:sdtContent>
        </w:sdt>
        <w:sdt>
          <w:sdtPr>
            <w:id w:val="-307564557"/>
            <w14:checkbox>
              <w14:checked w14:val="0"/>
              <w14:checkedState w14:val="2612" w14:font="MS Gothic"/>
              <w14:uncheckedState w14:val="2610" w14:font="MS Gothic"/>
            </w14:checkbox>
          </w:sdtPr>
          <w:sdtEndPr/>
          <w:sdtContent>
            <w:tc>
              <w:tcPr>
                <w:tcW w:w="605" w:type="dxa"/>
                <w:shd w:val="clear" w:color="auto" w:fill="FFFF00"/>
                <w:vAlign w:val="center"/>
              </w:tcPr>
              <w:p w:rsidR="00001632" w:rsidRDefault="00001632" w:rsidP="00AE252A">
                <w:pPr>
                  <w:jc w:val="center"/>
                </w:pPr>
                <w:r>
                  <w:rPr>
                    <w:rFonts w:ascii="MS Gothic" w:eastAsia="MS Gothic" w:hAnsi="MS Gothic" w:hint="eastAsia"/>
                  </w:rPr>
                  <w:t>☐</w:t>
                </w:r>
              </w:p>
            </w:tc>
          </w:sdtContent>
        </w:sdt>
        <w:tc>
          <w:tcPr>
            <w:tcW w:w="1380" w:type="dxa"/>
            <w:shd w:val="clear" w:color="auto" w:fill="F2F2F2" w:themeFill="background1" w:themeFillShade="F2"/>
            <w:vAlign w:val="center"/>
          </w:tcPr>
          <w:p w:rsidR="00001632" w:rsidRDefault="00001632" w:rsidP="00AE252A"/>
        </w:tc>
        <w:sdt>
          <w:sdtPr>
            <w:rPr>
              <w:highlight w:val="yellow"/>
            </w:rPr>
            <w:id w:val="-1253960765"/>
            <w14:checkbox>
              <w14:checked w14:val="0"/>
              <w14:checkedState w14:val="2612" w14:font="MS Gothic"/>
              <w14:uncheckedState w14:val="2610" w14:font="MS Gothic"/>
            </w14:checkbox>
          </w:sdtPr>
          <w:sdtEndPr/>
          <w:sdtContent>
            <w:tc>
              <w:tcPr>
                <w:tcW w:w="674" w:type="dxa"/>
                <w:shd w:val="clear" w:color="auto" w:fill="FFFF00"/>
                <w:vAlign w:val="center"/>
              </w:tcPr>
              <w:p w:rsidR="00001632" w:rsidRPr="00D03B8B" w:rsidRDefault="00001632" w:rsidP="00AE252A">
                <w:pPr>
                  <w:jc w:val="center"/>
                  <w:rPr>
                    <w:highlight w:val="yellow"/>
                  </w:rPr>
                </w:pPr>
                <w:r>
                  <w:rPr>
                    <w:rFonts w:ascii="MS Gothic" w:eastAsia="MS Gothic" w:hAnsi="MS Gothic" w:hint="eastAsia"/>
                    <w:highlight w:val="yellow"/>
                  </w:rPr>
                  <w:t>☐</w:t>
                </w:r>
              </w:p>
            </w:tc>
          </w:sdtContent>
        </w:sdt>
      </w:tr>
      <w:tr w:rsidR="005C681B" w:rsidRPr="00D03B8B" w:rsidTr="00290F73">
        <w:trPr>
          <w:trHeight w:val="566"/>
          <w:jc w:val="center"/>
        </w:trPr>
        <w:tc>
          <w:tcPr>
            <w:tcW w:w="1867" w:type="dxa"/>
            <w:vAlign w:val="center"/>
          </w:tcPr>
          <w:p w:rsidR="00001632" w:rsidRDefault="00001632" w:rsidP="00AE252A">
            <w:r>
              <w:rPr>
                <w:rFonts w:ascii="Arial" w:hAnsi="Arial" w:cs="Arial"/>
                <w:b/>
                <w:bCs/>
                <w:color w:val="000000"/>
                <w:sz w:val="18"/>
                <w:szCs w:val="18"/>
              </w:rPr>
              <w:t>CISs</w:t>
            </w:r>
          </w:p>
        </w:tc>
        <w:tc>
          <w:tcPr>
            <w:tcW w:w="567" w:type="dxa"/>
            <w:shd w:val="clear" w:color="auto" w:fill="FFFF00"/>
            <w:vAlign w:val="center"/>
          </w:tcPr>
          <w:p w:rsidR="00001632" w:rsidRDefault="00534C5F" w:rsidP="00AE252A">
            <w:pPr>
              <w:jc w:val="center"/>
            </w:pPr>
            <w:sdt>
              <w:sdtPr>
                <w:id w:val="1934168960"/>
                <w14:checkbox>
                  <w14:checked w14:val="0"/>
                  <w14:checkedState w14:val="2612" w14:font="MS Gothic"/>
                  <w14:uncheckedState w14:val="2610" w14:font="MS Gothic"/>
                </w14:checkbox>
              </w:sdtPr>
              <w:sdtEndPr/>
              <w:sdtContent>
                <w:r w:rsidR="009C1490">
                  <w:rPr>
                    <w:rFonts w:ascii="MS Gothic" w:eastAsia="MS Gothic" w:hAnsi="MS Gothic" w:hint="eastAsia"/>
                  </w:rPr>
                  <w:t>☐</w:t>
                </w:r>
              </w:sdtContent>
            </w:sdt>
          </w:p>
        </w:tc>
        <w:sdt>
          <w:sdtPr>
            <w:id w:val="1329397084"/>
            <w14:checkbox>
              <w14:checked w14:val="0"/>
              <w14:checkedState w14:val="2612" w14:font="MS Gothic"/>
              <w14:uncheckedState w14:val="2610" w14:font="MS Gothic"/>
            </w14:checkbox>
          </w:sdtPr>
          <w:sdtEndPr/>
          <w:sdtContent>
            <w:tc>
              <w:tcPr>
                <w:tcW w:w="567" w:type="dxa"/>
                <w:shd w:val="clear" w:color="auto" w:fill="FFFF00"/>
                <w:vAlign w:val="center"/>
              </w:tcPr>
              <w:p w:rsidR="00001632" w:rsidRDefault="00130FCA" w:rsidP="00AE252A">
                <w:pPr>
                  <w:jc w:val="center"/>
                </w:pPr>
                <w:r>
                  <w:rPr>
                    <w:rFonts w:ascii="MS Gothic" w:eastAsia="MS Gothic" w:hAnsi="MS Gothic" w:hint="eastAsia"/>
                  </w:rPr>
                  <w:t>☐</w:t>
                </w:r>
              </w:p>
            </w:tc>
          </w:sdtContent>
        </w:sdt>
        <w:sdt>
          <w:sdtPr>
            <w:id w:val="757789656"/>
            <w14:checkbox>
              <w14:checked w14:val="0"/>
              <w14:checkedState w14:val="2612" w14:font="MS Gothic"/>
              <w14:uncheckedState w14:val="2610" w14:font="MS Gothic"/>
            </w14:checkbox>
          </w:sdtPr>
          <w:sdtEndPr/>
          <w:sdtContent>
            <w:tc>
              <w:tcPr>
                <w:tcW w:w="567" w:type="dxa"/>
                <w:shd w:val="clear" w:color="auto" w:fill="FFFF00"/>
                <w:vAlign w:val="center"/>
              </w:tcPr>
              <w:p w:rsidR="00001632" w:rsidRDefault="00130FCA" w:rsidP="00AE252A">
                <w:pPr>
                  <w:jc w:val="center"/>
                </w:pPr>
                <w:r>
                  <w:rPr>
                    <w:rFonts w:ascii="MS Gothic" w:eastAsia="MS Gothic" w:hAnsi="MS Gothic" w:hint="eastAsia"/>
                  </w:rPr>
                  <w:t>☐</w:t>
                </w:r>
              </w:p>
            </w:tc>
          </w:sdtContent>
        </w:sdt>
        <w:tc>
          <w:tcPr>
            <w:tcW w:w="1134" w:type="dxa"/>
            <w:shd w:val="clear" w:color="auto" w:fill="F2F2F2" w:themeFill="background1" w:themeFillShade="F2"/>
            <w:vAlign w:val="center"/>
          </w:tcPr>
          <w:p w:rsidR="00001632" w:rsidRDefault="00001632" w:rsidP="00AE252A"/>
        </w:tc>
        <w:sdt>
          <w:sdtPr>
            <w:id w:val="122825735"/>
            <w14:checkbox>
              <w14:checked w14:val="0"/>
              <w14:checkedState w14:val="2612" w14:font="MS Gothic"/>
              <w14:uncheckedState w14:val="2610" w14:font="MS Gothic"/>
            </w14:checkbox>
          </w:sdtPr>
          <w:sdtEndPr/>
          <w:sdtContent>
            <w:tc>
              <w:tcPr>
                <w:tcW w:w="605" w:type="dxa"/>
                <w:shd w:val="clear" w:color="auto" w:fill="FFFF00"/>
                <w:vAlign w:val="center"/>
              </w:tcPr>
              <w:p w:rsidR="00001632" w:rsidRDefault="00001632" w:rsidP="00AE252A">
                <w:pPr>
                  <w:jc w:val="center"/>
                </w:pPr>
                <w:r>
                  <w:rPr>
                    <w:rFonts w:ascii="MS Gothic" w:eastAsia="MS Gothic" w:hAnsi="MS Gothic" w:hint="eastAsia"/>
                  </w:rPr>
                  <w:t>☐</w:t>
                </w:r>
              </w:p>
            </w:tc>
          </w:sdtContent>
        </w:sdt>
        <w:sdt>
          <w:sdtPr>
            <w:id w:val="1590585203"/>
            <w14:checkbox>
              <w14:checked w14:val="0"/>
              <w14:checkedState w14:val="2612" w14:font="MS Gothic"/>
              <w14:uncheckedState w14:val="2610" w14:font="MS Gothic"/>
            </w14:checkbox>
          </w:sdtPr>
          <w:sdtEndPr/>
          <w:sdtContent>
            <w:tc>
              <w:tcPr>
                <w:tcW w:w="1380" w:type="dxa"/>
                <w:shd w:val="clear" w:color="auto" w:fill="FFFF00"/>
                <w:vAlign w:val="center"/>
              </w:tcPr>
              <w:p w:rsidR="00001632" w:rsidRDefault="00001632" w:rsidP="00AE252A">
                <w:pPr>
                  <w:jc w:val="center"/>
                </w:pPr>
                <w:r>
                  <w:rPr>
                    <w:rFonts w:ascii="MS Gothic" w:eastAsia="MS Gothic" w:hAnsi="MS Gothic" w:hint="eastAsia"/>
                  </w:rPr>
                  <w:t>☐</w:t>
                </w:r>
              </w:p>
            </w:tc>
          </w:sdtContent>
        </w:sdt>
        <w:sdt>
          <w:sdtPr>
            <w:rPr>
              <w:highlight w:val="yellow"/>
            </w:rPr>
            <w:id w:val="281925732"/>
            <w14:checkbox>
              <w14:checked w14:val="0"/>
              <w14:checkedState w14:val="2612" w14:font="MS Gothic"/>
              <w14:uncheckedState w14:val="2610" w14:font="MS Gothic"/>
            </w14:checkbox>
          </w:sdtPr>
          <w:sdtEndPr/>
          <w:sdtContent>
            <w:tc>
              <w:tcPr>
                <w:tcW w:w="674" w:type="dxa"/>
                <w:shd w:val="clear" w:color="auto" w:fill="FFFF00"/>
                <w:vAlign w:val="center"/>
              </w:tcPr>
              <w:p w:rsidR="00001632" w:rsidRPr="00D03B8B" w:rsidRDefault="00001632" w:rsidP="00AE252A">
                <w:pPr>
                  <w:jc w:val="center"/>
                  <w:rPr>
                    <w:highlight w:val="yellow"/>
                  </w:rPr>
                </w:pPr>
                <w:r>
                  <w:rPr>
                    <w:rFonts w:ascii="MS Gothic" w:eastAsia="MS Gothic" w:hAnsi="MS Gothic" w:hint="eastAsia"/>
                    <w:highlight w:val="yellow"/>
                  </w:rPr>
                  <w:t>☐</w:t>
                </w:r>
              </w:p>
            </w:tc>
          </w:sdtContent>
        </w:sdt>
      </w:tr>
      <w:tr w:rsidR="005C681B" w:rsidRPr="00D03B8B" w:rsidTr="00290F73">
        <w:trPr>
          <w:trHeight w:val="558"/>
          <w:jc w:val="center"/>
        </w:trPr>
        <w:tc>
          <w:tcPr>
            <w:tcW w:w="1867" w:type="dxa"/>
            <w:vAlign w:val="center"/>
          </w:tcPr>
          <w:p w:rsidR="00001632" w:rsidRDefault="00001632" w:rsidP="00AE252A">
            <w:r>
              <w:rPr>
                <w:rFonts w:ascii="Arial" w:hAnsi="Arial" w:cs="Arial"/>
                <w:b/>
                <w:bCs/>
                <w:color w:val="000000"/>
                <w:sz w:val="18"/>
                <w:szCs w:val="18"/>
              </w:rPr>
              <w:t>Eligible Counterparties</w:t>
            </w:r>
          </w:p>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tc>
          <w:tcPr>
            <w:tcW w:w="567" w:type="dxa"/>
            <w:shd w:val="clear" w:color="auto" w:fill="F2F2F2" w:themeFill="background1" w:themeFillShade="F2"/>
            <w:vAlign w:val="center"/>
          </w:tcPr>
          <w:p w:rsidR="00001632" w:rsidRDefault="00001632" w:rsidP="00AE252A"/>
        </w:tc>
        <w:sdt>
          <w:sdtPr>
            <w:id w:val="-866513911"/>
            <w14:checkbox>
              <w14:checked w14:val="0"/>
              <w14:checkedState w14:val="2612" w14:font="MS Gothic"/>
              <w14:uncheckedState w14:val="2610" w14:font="MS Gothic"/>
            </w14:checkbox>
          </w:sdtPr>
          <w:sdtEndPr/>
          <w:sdtContent>
            <w:tc>
              <w:tcPr>
                <w:tcW w:w="1134" w:type="dxa"/>
                <w:shd w:val="clear" w:color="auto" w:fill="FFFF00"/>
                <w:vAlign w:val="center"/>
              </w:tcPr>
              <w:p w:rsidR="00001632" w:rsidRDefault="00405132" w:rsidP="00AE252A">
                <w:pPr>
                  <w:jc w:val="center"/>
                </w:pPr>
                <w:r>
                  <w:rPr>
                    <w:rFonts w:ascii="MS Gothic" w:eastAsia="MS Gothic" w:hAnsi="MS Gothic" w:hint="eastAsia"/>
                  </w:rPr>
                  <w:t>☐</w:t>
                </w:r>
              </w:p>
            </w:tc>
          </w:sdtContent>
        </w:sdt>
        <w:sdt>
          <w:sdtPr>
            <w:id w:val="-231313191"/>
            <w14:checkbox>
              <w14:checked w14:val="0"/>
              <w14:checkedState w14:val="2612" w14:font="MS Gothic"/>
              <w14:uncheckedState w14:val="2610" w14:font="MS Gothic"/>
            </w14:checkbox>
          </w:sdtPr>
          <w:sdtEndPr/>
          <w:sdtContent>
            <w:tc>
              <w:tcPr>
                <w:tcW w:w="605" w:type="dxa"/>
                <w:shd w:val="clear" w:color="auto" w:fill="FFFF00"/>
                <w:vAlign w:val="center"/>
              </w:tcPr>
              <w:p w:rsidR="00001632" w:rsidRDefault="00001632" w:rsidP="00AE252A">
                <w:pPr>
                  <w:jc w:val="center"/>
                </w:pPr>
                <w:r>
                  <w:rPr>
                    <w:rFonts w:ascii="MS Gothic" w:eastAsia="MS Gothic" w:hAnsi="MS Gothic" w:hint="eastAsia"/>
                  </w:rPr>
                  <w:t>☐</w:t>
                </w:r>
              </w:p>
            </w:tc>
          </w:sdtContent>
        </w:sdt>
        <w:tc>
          <w:tcPr>
            <w:tcW w:w="1380" w:type="dxa"/>
            <w:shd w:val="clear" w:color="auto" w:fill="F2F2F2" w:themeFill="background1" w:themeFillShade="F2"/>
            <w:vAlign w:val="center"/>
          </w:tcPr>
          <w:p w:rsidR="00001632" w:rsidRDefault="00001632" w:rsidP="00AE252A"/>
        </w:tc>
        <w:sdt>
          <w:sdtPr>
            <w:rPr>
              <w:highlight w:val="yellow"/>
            </w:rPr>
            <w:id w:val="-2058387785"/>
            <w14:checkbox>
              <w14:checked w14:val="0"/>
              <w14:checkedState w14:val="2612" w14:font="MS Gothic"/>
              <w14:uncheckedState w14:val="2610" w14:font="MS Gothic"/>
            </w14:checkbox>
          </w:sdtPr>
          <w:sdtEndPr/>
          <w:sdtContent>
            <w:tc>
              <w:tcPr>
                <w:tcW w:w="674" w:type="dxa"/>
                <w:shd w:val="clear" w:color="auto" w:fill="FFFF00"/>
                <w:vAlign w:val="center"/>
              </w:tcPr>
              <w:p w:rsidR="00001632" w:rsidRPr="00D03B8B" w:rsidRDefault="00001632" w:rsidP="00AE252A">
                <w:pPr>
                  <w:jc w:val="center"/>
                  <w:rPr>
                    <w:highlight w:val="yellow"/>
                  </w:rPr>
                </w:pPr>
                <w:r>
                  <w:rPr>
                    <w:rFonts w:ascii="MS Gothic" w:eastAsia="MS Gothic" w:hAnsi="MS Gothic" w:hint="eastAsia"/>
                    <w:highlight w:val="yellow"/>
                  </w:rPr>
                  <w:t>☐</w:t>
                </w:r>
              </w:p>
            </w:tc>
          </w:sdtContent>
        </w:sdt>
      </w:tr>
    </w:tbl>
    <w:p w:rsidR="00001632" w:rsidRDefault="00001632" w:rsidP="00421D5D">
      <w:pPr>
        <w:pStyle w:val="ListParagraph"/>
        <w:spacing w:after="0" w:line="240" w:lineRule="auto"/>
        <w:ind w:left="426"/>
        <w:jc w:val="both"/>
        <w:rPr>
          <w:rFonts w:ascii="Times New Roman" w:hAnsi="Times New Roman" w:cs="Times New Roman"/>
          <w:sz w:val="24"/>
          <w:szCs w:val="24"/>
        </w:rPr>
      </w:pPr>
    </w:p>
    <w:p w:rsidR="00001632" w:rsidRDefault="00001632" w:rsidP="00421D5D">
      <w:pPr>
        <w:pStyle w:val="ListParagraph"/>
        <w:spacing w:after="0" w:line="240" w:lineRule="auto"/>
        <w:ind w:left="426"/>
        <w:jc w:val="both"/>
        <w:rPr>
          <w:rFonts w:ascii="Times New Roman" w:hAnsi="Times New Roman" w:cs="Times New Roman"/>
          <w:sz w:val="24"/>
          <w:szCs w:val="24"/>
        </w:rPr>
      </w:pPr>
    </w:p>
    <w:p w:rsidR="00B806A4" w:rsidRDefault="003A7CBE" w:rsidP="00B806A4">
      <w:pPr>
        <w:pStyle w:val="ListParagraph"/>
        <w:numPr>
          <w:ilvl w:val="1"/>
          <w:numId w:val="8"/>
        </w:numPr>
        <w:spacing w:after="0" w:line="240" w:lineRule="auto"/>
        <w:ind w:left="426" w:hanging="426"/>
        <w:jc w:val="both"/>
        <w:rPr>
          <w:rFonts w:ascii="Times New Roman" w:hAnsi="Times New Roman" w:cs="Times New Roman"/>
          <w:sz w:val="24"/>
          <w:szCs w:val="24"/>
        </w:rPr>
      </w:pPr>
      <w:r w:rsidRPr="00772AC8">
        <w:rPr>
          <w:rFonts w:ascii="Times New Roman" w:hAnsi="Times New Roman" w:cs="Times New Roman"/>
          <w:sz w:val="24"/>
          <w:szCs w:val="24"/>
        </w:rPr>
        <w:t>Please indicate the names of the AIFs managed/intended to be managed by the AIFM</w:t>
      </w:r>
      <w:r w:rsidR="00B806A4" w:rsidRPr="00772AC8">
        <w:rPr>
          <w:rFonts w:ascii="Times New Roman" w:hAnsi="Times New Roman" w:cs="Times New Roman"/>
          <w:sz w:val="24"/>
          <w:szCs w:val="24"/>
        </w:rPr>
        <w:t xml:space="preserve"> </w:t>
      </w:r>
      <w:r w:rsidR="00772AC8" w:rsidRPr="00772AC8">
        <w:rPr>
          <w:rFonts w:ascii="Times New Roman" w:hAnsi="Times New Roman" w:cs="Times New Roman"/>
          <w:sz w:val="24"/>
          <w:szCs w:val="24"/>
        </w:rPr>
        <w:t>in the table below</w:t>
      </w:r>
      <w:r w:rsidR="00772AC8">
        <w:rPr>
          <w:rFonts w:ascii="Times New Roman" w:hAnsi="Times New Roman" w:cs="Times New Roman"/>
          <w:sz w:val="24"/>
          <w:szCs w:val="24"/>
        </w:rPr>
        <w:t>:-</w:t>
      </w:r>
    </w:p>
    <w:p w:rsidR="00772AC8" w:rsidRPr="00772AC8" w:rsidRDefault="00772AC8" w:rsidP="00772AC8">
      <w:pPr>
        <w:pStyle w:val="ListParagraph"/>
        <w:spacing w:after="0" w:line="240" w:lineRule="auto"/>
        <w:ind w:left="426"/>
        <w:jc w:val="both"/>
        <w:rPr>
          <w:rFonts w:ascii="Times New Roman" w:hAnsi="Times New Roman" w:cs="Times New Roman"/>
          <w:sz w:val="24"/>
          <w:szCs w:val="24"/>
        </w:rPr>
      </w:pPr>
    </w:p>
    <w:tbl>
      <w:tblPr>
        <w:tblStyle w:val="TableGrid"/>
        <w:tblW w:w="0" w:type="auto"/>
        <w:tblInd w:w="426" w:type="dxa"/>
        <w:tblLook w:val="04A0" w:firstRow="1" w:lastRow="0" w:firstColumn="1" w:lastColumn="0" w:noHBand="0" w:noVBand="1"/>
      </w:tblPr>
      <w:tblGrid>
        <w:gridCol w:w="2659"/>
        <w:gridCol w:w="3390"/>
        <w:gridCol w:w="3039"/>
      </w:tblGrid>
      <w:tr w:rsidR="00B806A4" w:rsidRPr="00772AC8" w:rsidTr="00B806A4">
        <w:tc>
          <w:tcPr>
            <w:tcW w:w="2659" w:type="dxa"/>
            <w:shd w:val="clear" w:color="auto" w:fill="FFFF00"/>
          </w:tcPr>
          <w:p w:rsidR="00B806A4" w:rsidRPr="00772AC8" w:rsidRDefault="00B806A4" w:rsidP="00772AC8">
            <w:pPr>
              <w:pStyle w:val="ListParagraph"/>
              <w:ind w:left="0"/>
              <w:rPr>
                <w:rFonts w:ascii="Times New Roman" w:hAnsi="Times New Roman"/>
                <w:b/>
                <w:sz w:val="20"/>
                <w:szCs w:val="20"/>
              </w:rPr>
            </w:pPr>
            <w:r w:rsidRPr="00772AC8">
              <w:rPr>
                <w:rFonts w:ascii="Times New Roman" w:hAnsi="Times New Roman"/>
                <w:b/>
                <w:sz w:val="20"/>
                <w:szCs w:val="20"/>
              </w:rPr>
              <w:t xml:space="preserve">Name of AIF </w:t>
            </w:r>
          </w:p>
        </w:tc>
        <w:tc>
          <w:tcPr>
            <w:tcW w:w="3390" w:type="dxa"/>
            <w:shd w:val="clear" w:color="auto" w:fill="FFFF00"/>
          </w:tcPr>
          <w:p w:rsidR="00B806A4" w:rsidRPr="00772AC8" w:rsidRDefault="00B806A4" w:rsidP="00772AC8">
            <w:pPr>
              <w:pStyle w:val="ListParagraph"/>
              <w:ind w:left="0"/>
              <w:rPr>
                <w:rFonts w:ascii="Times New Roman" w:hAnsi="Times New Roman"/>
                <w:b/>
                <w:sz w:val="20"/>
                <w:szCs w:val="20"/>
              </w:rPr>
            </w:pPr>
            <w:r w:rsidRPr="00772AC8">
              <w:rPr>
                <w:rFonts w:ascii="Times New Roman" w:hAnsi="Times New Roman"/>
                <w:b/>
                <w:sz w:val="20"/>
                <w:szCs w:val="20"/>
              </w:rPr>
              <w:t>Registration/ Licensing Date</w:t>
            </w:r>
          </w:p>
        </w:tc>
        <w:tc>
          <w:tcPr>
            <w:tcW w:w="3039" w:type="dxa"/>
            <w:shd w:val="clear" w:color="auto" w:fill="FFFF00"/>
          </w:tcPr>
          <w:p w:rsidR="00B806A4" w:rsidRPr="00772AC8" w:rsidRDefault="00772AC8" w:rsidP="00772AC8">
            <w:pPr>
              <w:pStyle w:val="ListParagraph"/>
              <w:ind w:left="0"/>
              <w:rPr>
                <w:rFonts w:ascii="Times New Roman" w:hAnsi="Times New Roman"/>
                <w:b/>
                <w:sz w:val="20"/>
                <w:szCs w:val="20"/>
              </w:rPr>
            </w:pPr>
            <w:r w:rsidRPr="00772AC8">
              <w:rPr>
                <w:rFonts w:ascii="Times New Roman" w:hAnsi="Times New Roman"/>
                <w:b/>
                <w:sz w:val="20"/>
                <w:szCs w:val="20"/>
              </w:rPr>
              <w:t xml:space="preserve">Fund Domicile and </w:t>
            </w:r>
            <w:r w:rsidR="00B806A4" w:rsidRPr="00772AC8">
              <w:rPr>
                <w:rFonts w:ascii="Times New Roman" w:hAnsi="Times New Roman"/>
                <w:b/>
                <w:sz w:val="20"/>
                <w:szCs w:val="20"/>
              </w:rPr>
              <w:t xml:space="preserve">Regulatory Status </w:t>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B806A4">
        <w:tc>
          <w:tcPr>
            <w:tcW w:w="265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390"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303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3A7CBE" w:rsidRPr="00421D5D" w:rsidRDefault="003A7CBE" w:rsidP="003A7CBE">
      <w:pPr>
        <w:pStyle w:val="ListParagraph"/>
        <w:spacing w:after="0" w:line="240" w:lineRule="auto"/>
        <w:ind w:left="426"/>
        <w:jc w:val="both"/>
        <w:rPr>
          <w:rFonts w:ascii="Times New Roman" w:hAnsi="Times New Roman"/>
          <w:sz w:val="24"/>
          <w:szCs w:val="24"/>
        </w:rPr>
      </w:pPr>
    </w:p>
    <w:p w:rsidR="003A7CBE" w:rsidRPr="00421D5D" w:rsidRDefault="003A7CBE" w:rsidP="003A7CBE">
      <w:pPr>
        <w:pStyle w:val="ListParagraph"/>
        <w:spacing w:after="0" w:line="240" w:lineRule="auto"/>
        <w:ind w:left="426"/>
        <w:jc w:val="both"/>
        <w:rPr>
          <w:rFonts w:ascii="Times New Roman" w:hAnsi="Times New Roman"/>
          <w:sz w:val="24"/>
          <w:szCs w:val="24"/>
        </w:rPr>
      </w:pPr>
    </w:p>
    <w:p w:rsidR="00B77077" w:rsidRDefault="00B77077" w:rsidP="00421D5D">
      <w:pPr>
        <w:pStyle w:val="ListParagraph"/>
        <w:spacing w:after="0" w:line="240" w:lineRule="auto"/>
        <w:ind w:left="426"/>
        <w:jc w:val="both"/>
        <w:rPr>
          <w:rFonts w:ascii="Times New Roman" w:hAnsi="Times New Roman" w:cs="Times New Roman"/>
          <w:sz w:val="24"/>
          <w:szCs w:val="24"/>
        </w:rPr>
      </w:pPr>
    </w:p>
    <w:p w:rsidR="0068473A" w:rsidRDefault="0068473A" w:rsidP="00421D5D">
      <w:pPr>
        <w:pStyle w:val="ListParagraph"/>
        <w:spacing w:after="0" w:line="240" w:lineRule="auto"/>
        <w:ind w:left="426"/>
        <w:jc w:val="both"/>
        <w:rPr>
          <w:rFonts w:ascii="Times New Roman" w:hAnsi="Times New Roman" w:cs="Times New Roman"/>
          <w:sz w:val="24"/>
          <w:szCs w:val="24"/>
        </w:rPr>
      </w:pPr>
    </w:p>
    <w:p w:rsidR="0068473A" w:rsidRDefault="0068473A" w:rsidP="00421D5D">
      <w:pPr>
        <w:pStyle w:val="ListParagraph"/>
        <w:spacing w:after="0" w:line="240" w:lineRule="auto"/>
        <w:ind w:left="426"/>
        <w:jc w:val="both"/>
        <w:rPr>
          <w:rFonts w:ascii="Times New Roman" w:hAnsi="Times New Roman" w:cs="Times New Roman"/>
          <w:sz w:val="24"/>
          <w:szCs w:val="24"/>
        </w:rPr>
      </w:pPr>
    </w:p>
    <w:p w:rsidR="0068473A" w:rsidRDefault="0068473A" w:rsidP="00421D5D">
      <w:pPr>
        <w:pStyle w:val="ListParagraph"/>
        <w:spacing w:after="0" w:line="240" w:lineRule="auto"/>
        <w:ind w:left="426"/>
        <w:jc w:val="both"/>
        <w:rPr>
          <w:rFonts w:ascii="Times New Roman" w:hAnsi="Times New Roman" w:cs="Times New Roman"/>
          <w:sz w:val="24"/>
          <w:szCs w:val="24"/>
        </w:rPr>
      </w:pPr>
    </w:p>
    <w:p w:rsidR="009A0440" w:rsidRDefault="009A0440" w:rsidP="00001632">
      <w:pPr>
        <w:spacing w:line="360" w:lineRule="auto"/>
        <w:jc w:val="center"/>
        <w:rPr>
          <w:rFonts w:ascii="Times New Roman" w:hAnsi="Times New Roman" w:cs="Times New Roman"/>
          <w:b/>
          <w:bCs/>
          <w:sz w:val="26"/>
          <w:szCs w:val="26"/>
        </w:rPr>
      </w:pPr>
    </w:p>
    <w:p w:rsidR="00E8328D" w:rsidRDefault="00E8328D" w:rsidP="00001632">
      <w:pPr>
        <w:spacing w:line="360" w:lineRule="auto"/>
        <w:jc w:val="center"/>
        <w:rPr>
          <w:rFonts w:ascii="Times New Roman" w:hAnsi="Times New Roman" w:cs="Times New Roman"/>
          <w:b/>
          <w:bCs/>
          <w:sz w:val="26"/>
          <w:szCs w:val="26"/>
        </w:rPr>
      </w:pPr>
    </w:p>
    <w:p w:rsidR="00001632" w:rsidRDefault="00001632" w:rsidP="00001632">
      <w:pPr>
        <w:spacing w:line="360" w:lineRule="auto"/>
        <w:jc w:val="center"/>
        <w:rPr>
          <w:rFonts w:ascii="Times New Roman" w:hAnsi="Times New Roman" w:cs="Times New Roman"/>
          <w:b/>
          <w:bCs/>
          <w:sz w:val="26"/>
          <w:szCs w:val="26"/>
        </w:rPr>
      </w:pPr>
      <w:r w:rsidRPr="00BF70E7">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2</w:t>
      </w:r>
      <w:r w:rsidRPr="00BF70E7">
        <w:rPr>
          <w:rFonts w:ascii="Times New Roman" w:hAnsi="Times New Roman" w:cs="Times New Roman"/>
          <w:b/>
          <w:bCs/>
          <w:sz w:val="26"/>
          <w:szCs w:val="26"/>
        </w:rPr>
        <w:t xml:space="preserve">: </w:t>
      </w:r>
      <w:r>
        <w:rPr>
          <w:rFonts w:ascii="Times New Roman" w:hAnsi="Times New Roman" w:cs="Times New Roman"/>
          <w:b/>
          <w:bCs/>
          <w:sz w:val="26"/>
          <w:szCs w:val="26"/>
        </w:rPr>
        <w:t xml:space="preserve">Information on AIFs </w:t>
      </w:r>
    </w:p>
    <w:p w:rsidR="002E58C6" w:rsidRPr="00576205" w:rsidRDefault="002E58C6" w:rsidP="002E58C6">
      <w:pPr>
        <w:ind w:left="426"/>
        <w:jc w:val="both"/>
        <w:rPr>
          <w:rFonts w:ascii="Times New Roman" w:hAnsi="Times New Roman" w:cs="Times New Roman"/>
          <w:b/>
          <w:bCs/>
          <w:color w:val="808080" w:themeColor="background1" w:themeShade="80"/>
        </w:rPr>
      </w:pPr>
      <w:r w:rsidRPr="00576205">
        <w:rPr>
          <w:rFonts w:ascii="Times New Roman" w:hAnsi="Times New Roman" w:cs="Times New Roman"/>
          <w:i/>
          <w:color w:val="808080" w:themeColor="background1" w:themeShade="80"/>
        </w:rPr>
        <w:t xml:space="preserve">This section requires details for </w:t>
      </w:r>
      <w:r w:rsidR="004D1E8F">
        <w:rPr>
          <w:rFonts w:ascii="Times New Roman" w:hAnsi="Times New Roman" w:cs="Times New Roman"/>
          <w:i/>
          <w:color w:val="808080" w:themeColor="background1" w:themeShade="80"/>
        </w:rPr>
        <w:t xml:space="preserve">an </w:t>
      </w:r>
      <w:r w:rsidR="00C71809" w:rsidRPr="008A44DD">
        <w:rPr>
          <w:rFonts w:ascii="Times New Roman" w:hAnsi="Times New Roman" w:cs="Times New Roman"/>
          <w:i/>
          <w:color w:val="808080" w:themeColor="background1" w:themeShade="80"/>
        </w:rPr>
        <w:t>internally managed AIF</w:t>
      </w:r>
      <w:r w:rsidR="00C71809">
        <w:rPr>
          <w:rFonts w:ascii="Times New Roman" w:hAnsi="Times New Roman" w:cs="Times New Roman"/>
          <w:i/>
          <w:color w:val="808080" w:themeColor="background1" w:themeShade="80"/>
        </w:rPr>
        <w:t xml:space="preserve"> / </w:t>
      </w:r>
      <w:r w:rsidR="004D1E8F" w:rsidRPr="00576205">
        <w:rPr>
          <w:rFonts w:ascii="Times New Roman" w:hAnsi="Times New Roman" w:cs="Times New Roman"/>
          <w:i/>
          <w:color w:val="808080" w:themeColor="background1" w:themeShade="80"/>
        </w:rPr>
        <w:t xml:space="preserve">each </w:t>
      </w:r>
      <w:r w:rsidRPr="00576205">
        <w:rPr>
          <w:rFonts w:ascii="Times New Roman" w:hAnsi="Times New Roman" w:cs="Times New Roman"/>
          <w:i/>
          <w:color w:val="808080" w:themeColor="background1" w:themeShade="80"/>
        </w:rPr>
        <w:t xml:space="preserve">AIF managed by the AIFM in accordance with </w:t>
      </w:r>
      <w:r w:rsidRPr="0000651F">
        <w:rPr>
          <w:rFonts w:ascii="Times New Roman" w:hAnsi="Times New Roman" w:cs="Times New Roman"/>
          <w:i/>
          <w:color w:val="808080" w:themeColor="background1" w:themeShade="80"/>
        </w:rPr>
        <w:t>Article 7(3) and 23(1) of the Directive</w:t>
      </w:r>
      <w:r w:rsidRPr="00576205">
        <w:rPr>
          <w:rFonts w:ascii="Times New Roman" w:hAnsi="Times New Roman" w:cs="Times New Roman"/>
          <w:i/>
          <w:color w:val="808080" w:themeColor="background1" w:themeShade="80"/>
        </w:rPr>
        <w:t>.  The information requested needs to be provided for each AIF and attached as a separate annex to th</w:t>
      </w:r>
      <w:r w:rsidR="00C71809">
        <w:rPr>
          <w:rFonts w:ascii="Times New Roman" w:hAnsi="Times New Roman" w:cs="Times New Roman"/>
          <w:i/>
          <w:color w:val="808080" w:themeColor="background1" w:themeShade="80"/>
        </w:rPr>
        <w:t>e</w:t>
      </w:r>
      <w:r w:rsidRPr="00576205">
        <w:rPr>
          <w:rFonts w:ascii="Times New Roman" w:hAnsi="Times New Roman" w:cs="Times New Roman"/>
          <w:i/>
          <w:color w:val="808080" w:themeColor="background1" w:themeShade="80"/>
        </w:rPr>
        <w:t xml:space="preserve"> </w:t>
      </w:r>
      <w:r w:rsidR="00C71809">
        <w:rPr>
          <w:rFonts w:ascii="Times New Roman" w:hAnsi="Times New Roman" w:cs="Times New Roman"/>
          <w:i/>
          <w:color w:val="808080" w:themeColor="background1" w:themeShade="80"/>
        </w:rPr>
        <w:t>Questionnaire</w:t>
      </w:r>
      <w:r w:rsidR="00A411D5">
        <w:rPr>
          <w:rFonts w:ascii="Times New Roman" w:hAnsi="Times New Roman" w:cs="Times New Roman"/>
          <w:i/>
          <w:color w:val="808080" w:themeColor="background1" w:themeShade="80"/>
        </w:rPr>
        <w:t>.</w:t>
      </w:r>
      <w:r w:rsidRPr="00576205">
        <w:rPr>
          <w:rFonts w:ascii="Times New Roman" w:hAnsi="Times New Roman" w:cs="Times New Roman"/>
          <w:i/>
          <w:color w:val="808080" w:themeColor="background1" w:themeShade="80"/>
        </w:rPr>
        <w:t xml:space="preserve"> </w:t>
      </w:r>
      <w:r w:rsidR="008A44DD">
        <w:rPr>
          <w:rFonts w:ascii="Times New Roman" w:hAnsi="Times New Roman" w:cs="Times New Roman"/>
          <w:i/>
          <w:color w:val="808080" w:themeColor="background1" w:themeShade="80"/>
        </w:rPr>
        <w:t>In cas</w:t>
      </w:r>
      <w:r w:rsidR="00B806A4">
        <w:rPr>
          <w:rFonts w:ascii="Times New Roman" w:hAnsi="Times New Roman" w:cs="Times New Roman"/>
          <w:i/>
          <w:color w:val="808080" w:themeColor="background1" w:themeShade="80"/>
        </w:rPr>
        <w:t>e of submission of an Offering D</w:t>
      </w:r>
      <w:r w:rsidR="008A44DD">
        <w:rPr>
          <w:rFonts w:ascii="Times New Roman" w:hAnsi="Times New Roman" w:cs="Times New Roman"/>
          <w:i/>
          <w:color w:val="808080" w:themeColor="background1" w:themeShade="80"/>
        </w:rPr>
        <w:t>ocument please indicate the page/s where the respective details are included</w:t>
      </w:r>
      <w:r w:rsidR="004D1E8F">
        <w:rPr>
          <w:rFonts w:ascii="Times New Roman" w:hAnsi="Times New Roman" w:cs="Times New Roman"/>
          <w:i/>
          <w:color w:val="808080" w:themeColor="background1" w:themeShade="80"/>
        </w:rPr>
        <w:t xml:space="preserve"> in the </w:t>
      </w:r>
      <w:r w:rsidR="00530760">
        <w:rPr>
          <w:rFonts w:ascii="Times New Roman" w:hAnsi="Times New Roman" w:cs="Times New Roman"/>
          <w:i/>
          <w:color w:val="808080" w:themeColor="background1" w:themeShade="80"/>
        </w:rPr>
        <w:t xml:space="preserve">second </w:t>
      </w:r>
      <w:r w:rsidR="004D1E8F">
        <w:rPr>
          <w:rFonts w:ascii="Times New Roman" w:hAnsi="Times New Roman" w:cs="Times New Roman"/>
          <w:i/>
          <w:color w:val="808080" w:themeColor="background1" w:themeShade="80"/>
        </w:rPr>
        <w:t>column provided</w:t>
      </w:r>
      <w:r w:rsidR="00CD6ECF">
        <w:rPr>
          <w:rFonts w:ascii="Times New Roman" w:hAnsi="Times New Roman" w:cs="Times New Roman"/>
          <w:i/>
          <w:color w:val="808080" w:themeColor="background1" w:themeShade="80"/>
        </w:rPr>
        <w:t>.</w:t>
      </w:r>
      <w:r w:rsidR="00FC775D">
        <w:rPr>
          <w:rFonts w:ascii="Times New Roman" w:hAnsi="Times New Roman" w:cs="Times New Roman"/>
          <w:i/>
          <w:color w:val="808080" w:themeColor="background1" w:themeShade="80"/>
        </w:rPr>
        <w:t xml:space="preserve"> </w:t>
      </w:r>
      <w:r w:rsidR="009A0440">
        <w:rPr>
          <w:rFonts w:ascii="Times New Roman" w:hAnsi="Times New Roman" w:cs="Times New Roman"/>
          <w:i/>
          <w:color w:val="808080" w:themeColor="background1" w:themeShade="80"/>
        </w:rPr>
        <w:t>O</w:t>
      </w:r>
      <w:r w:rsidR="00FC775D">
        <w:rPr>
          <w:rFonts w:ascii="Times New Roman" w:hAnsi="Times New Roman" w:cs="Times New Roman"/>
          <w:i/>
          <w:color w:val="808080" w:themeColor="background1" w:themeShade="80"/>
        </w:rPr>
        <w:t>therwise relevant extracts should be provided</w:t>
      </w:r>
      <w:r w:rsidR="008A44DD">
        <w:rPr>
          <w:rFonts w:ascii="Times New Roman" w:hAnsi="Times New Roman" w:cs="Times New Roman"/>
          <w:i/>
          <w:color w:val="808080" w:themeColor="background1" w:themeShade="80"/>
        </w:rPr>
        <w:t>.</w:t>
      </w:r>
    </w:p>
    <w:p w:rsidR="00001632" w:rsidRPr="00B3631C" w:rsidRDefault="00001632" w:rsidP="00072AAC">
      <w:pPr>
        <w:pStyle w:val="ListParagraph"/>
        <w:numPr>
          <w:ilvl w:val="1"/>
          <w:numId w:val="9"/>
        </w:numPr>
        <w:spacing w:after="0" w:line="360" w:lineRule="auto"/>
        <w:ind w:left="426" w:hanging="426"/>
        <w:jc w:val="both"/>
        <w:rPr>
          <w:rFonts w:ascii="Times New Roman" w:hAnsi="Times New Roman" w:cs="Times New Roman"/>
          <w:b/>
          <w:bCs/>
          <w:sz w:val="26"/>
          <w:szCs w:val="26"/>
        </w:rPr>
      </w:pPr>
      <w:r w:rsidRPr="00001632">
        <w:rPr>
          <w:rFonts w:ascii="Times New Roman" w:hAnsi="Times New Roman" w:cs="Times New Roman"/>
          <w:sz w:val="24"/>
          <w:szCs w:val="24"/>
        </w:rPr>
        <w:t>Provide</w:t>
      </w:r>
      <w:r w:rsidR="00130FCA">
        <w:rPr>
          <w:rFonts w:ascii="Times New Roman" w:hAnsi="Times New Roman" w:cs="Times New Roman"/>
          <w:sz w:val="24"/>
          <w:szCs w:val="24"/>
        </w:rPr>
        <w:t xml:space="preserve"> the following</w:t>
      </w:r>
      <w:r w:rsidRPr="00001632">
        <w:rPr>
          <w:rFonts w:ascii="Times New Roman" w:hAnsi="Times New Roman" w:cs="Times New Roman"/>
          <w:sz w:val="24"/>
          <w:szCs w:val="24"/>
        </w:rPr>
        <w:t xml:space="preserve"> information</w:t>
      </w:r>
      <w:r w:rsidR="00130FCA">
        <w:rPr>
          <w:rFonts w:ascii="Times New Roman" w:hAnsi="Times New Roman" w:cs="Times New Roman"/>
          <w:sz w:val="24"/>
          <w:szCs w:val="24"/>
        </w:rPr>
        <w:t>:-</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8935"/>
      </w:tblGrid>
      <w:tr w:rsidR="00F65A59" w:rsidRPr="00D8356D" w:rsidTr="00B3631C">
        <w:trPr>
          <w:trHeight w:val="2099"/>
        </w:trPr>
        <w:tc>
          <w:tcPr>
            <w:tcW w:w="563" w:type="dxa"/>
          </w:tcPr>
          <w:p w:rsidR="002B1182" w:rsidRPr="00001632" w:rsidRDefault="002B1182" w:rsidP="00001632">
            <w:pPr>
              <w:rPr>
                <w:rFonts w:ascii="Times New Roman" w:hAnsi="Times New Roman" w:cs="Times New Roman"/>
                <w:b/>
                <w:sz w:val="24"/>
                <w:szCs w:val="24"/>
              </w:rPr>
            </w:pPr>
          </w:p>
          <w:p w:rsidR="002B1182" w:rsidRDefault="002B1182" w:rsidP="002B1182"/>
          <w:p w:rsidR="002B1182" w:rsidRDefault="002B1182" w:rsidP="002B1182"/>
          <w:p w:rsidR="00F65A59" w:rsidRPr="002B1182" w:rsidRDefault="00F65A59" w:rsidP="002B1182"/>
        </w:tc>
        <w:tc>
          <w:tcPr>
            <w:tcW w:w="8935" w:type="dxa"/>
          </w:tcPr>
          <w:tbl>
            <w:tblPr>
              <w:tblW w:w="87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3"/>
              <w:gridCol w:w="541"/>
              <w:gridCol w:w="851"/>
            </w:tblGrid>
            <w:tr w:rsidR="008A44DD" w:rsidRPr="002B1182" w:rsidTr="00E8328D">
              <w:trPr>
                <w:cantSplit/>
                <w:trHeight w:val="243"/>
              </w:trPr>
              <w:tc>
                <w:tcPr>
                  <w:tcW w:w="7323" w:type="dxa"/>
                  <w:tcBorders>
                    <w:top w:val="nil"/>
                    <w:left w:val="nil"/>
                    <w:bottom w:val="nil"/>
                    <w:right w:val="nil"/>
                  </w:tcBorders>
                </w:tcPr>
                <w:p w:rsidR="008A44DD" w:rsidRPr="00B3631C" w:rsidRDefault="00FC775D" w:rsidP="00B3631C">
                  <w:pPr>
                    <w:keepNext/>
                    <w:tabs>
                      <w:tab w:val="left" w:pos="385"/>
                    </w:tabs>
                    <w:spacing w:after="0" w:line="240" w:lineRule="auto"/>
                    <w:ind w:right="175"/>
                    <w:jc w:val="both"/>
                    <w:outlineLvl w:val="0"/>
                    <w:rPr>
                      <w:rFonts w:ascii="Times New Roman" w:eastAsia="Times New Roman" w:hAnsi="Times New Roman" w:cs="Times New Roman"/>
                      <w:kern w:val="32"/>
                    </w:rPr>
                  </w:pPr>
                  <w:r>
                    <w:rPr>
                      <w:rFonts w:ascii="Times New Roman" w:eastAsia="Times New Roman" w:hAnsi="Times New Roman" w:cs="Times New Roman"/>
                      <w:kern w:val="32"/>
                    </w:rPr>
                    <w:tab/>
                    <w:t xml:space="preserve"> </w:t>
                  </w:r>
                  <w:r w:rsidR="00EA5B47" w:rsidRPr="00B3631C">
                    <w:rPr>
                      <w:rFonts w:ascii="Times New Roman" w:eastAsia="Times New Roman" w:hAnsi="Times New Roman" w:cs="Times New Roman"/>
                      <w:kern w:val="32"/>
                    </w:rPr>
                    <w:t>Name</w:t>
                  </w:r>
                  <w:r>
                    <w:rPr>
                      <w:rFonts w:ascii="Times New Roman" w:eastAsia="Times New Roman" w:hAnsi="Times New Roman" w:cs="Times New Roman"/>
                      <w:kern w:val="32"/>
                    </w:rPr>
                    <w:t xml:space="preserve"> of AIF</w:t>
                  </w:r>
                  <w:r w:rsidR="00EA5B47" w:rsidRPr="00B3631C">
                    <w:rPr>
                      <w:rFonts w:ascii="Times New Roman" w:eastAsia="Times New Roman" w:hAnsi="Times New Roman" w:cs="Times New Roman"/>
                      <w:kern w:val="32"/>
                    </w:rPr>
                    <w:t xml:space="preserve">: </w:t>
                  </w:r>
                  <w:r w:rsidR="00E8328D" w:rsidRPr="00C37340">
                    <w:rPr>
                      <w:rFonts w:ascii="Arial" w:hAnsi="Arial"/>
                      <w:szCs w:val="24"/>
                    </w:rPr>
                    <w:fldChar w:fldCharType="begin">
                      <w:ffData>
                        <w:name w:val="Text30"/>
                        <w:enabled/>
                        <w:calcOnExit w:val="0"/>
                        <w:textInput/>
                      </w:ffData>
                    </w:fldChar>
                  </w:r>
                  <w:r w:rsidR="00E8328D" w:rsidRPr="00C37340">
                    <w:rPr>
                      <w:rFonts w:ascii="Arial" w:hAnsi="Arial"/>
                      <w:szCs w:val="24"/>
                    </w:rPr>
                    <w:instrText xml:space="preserve"> FORMTEXT </w:instrText>
                  </w:r>
                  <w:r w:rsidR="00E8328D" w:rsidRPr="00C37340">
                    <w:rPr>
                      <w:rFonts w:ascii="Arial" w:hAnsi="Arial"/>
                      <w:szCs w:val="24"/>
                    </w:rPr>
                  </w:r>
                  <w:r w:rsidR="00E8328D" w:rsidRPr="00C37340">
                    <w:rPr>
                      <w:rFonts w:ascii="Arial" w:hAnsi="Arial"/>
                      <w:szCs w:val="24"/>
                    </w:rPr>
                    <w:fldChar w:fldCharType="separate"/>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sidRPr="00C37340">
                    <w:rPr>
                      <w:rFonts w:ascii="Arial" w:hAnsi="Arial"/>
                      <w:szCs w:val="24"/>
                    </w:rPr>
                    <w:fldChar w:fldCharType="end"/>
                  </w:r>
                </w:p>
                <w:p w:rsidR="00EA5B47" w:rsidRPr="002B1182" w:rsidRDefault="00EA5B47" w:rsidP="002B1182">
                  <w:pPr>
                    <w:spacing w:after="0" w:line="240" w:lineRule="auto"/>
                    <w:rPr>
                      <w:rFonts w:ascii="Times New Roman" w:eastAsia="Times New Roman" w:hAnsi="Times New Roman" w:cs="Times New Roman"/>
                      <w:szCs w:val="24"/>
                      <w:lang w:val="en-IE"/>
                    </w:rPr>
                  </w:pPr>
                </w:p>
              </w:tc>
              <w:tc>
                <w:tcPr>
                  <w:tcW w:w="541" w:type="dxa"/>
                  <w:tcBorders>
                    <w:top w:val="nil"/>
                    <w:left w:val="nil"/>
                    <w:bottom w:val="single" w:sz="4" w:space="0" w:color="auto"/>
                    <w:right w:val="nil"/>
                  </w:tcBorders>
                  <w:shd w:val="clear" w:color="auto" w:fill="FFFFFF" w:themeFill="background1"/>
                </w:tcPr>
                <w:p w:rsidR="008A44DD" w:rsidRPr="002B1182" w:rsidRDefault="008A44DD" w:rsidP="002B1182">
                  <w:pPr>
                    <w:spacing w:after="0" w:line="240" w:lineRule="auto"/>
                    <w:rPr>
                      <w:rFonts w:ascii="Times New Roman" w:eastAsia="Times New Roman" w:hAnsi="Times New Roman" w:cs="Times New Roman"/>
                      <w:szCs w:val="24"/>
                      <w:lang w:val="en-IE"/>
                    </w:rPr>
                  </w:pPr>
                </w:p>
              </w:tc>
              <w:tc>
                <w:tcPr>
                  <w:tcW w:w="851" w:type="dxa"/>
                  <w:tcBorders>
                    <w:top w:val="nil"/>
                    <w:left w:val="nil"/>
                    <w:bottom w:val="single" w:sz="4" w:space="0" w:color="auto"/>
                    <w:right w:val="nil"/>
                  </w:tcBorders>
                  <w:shd w:val="clear" w:color="auto" w:fill="FFFFFF" w:themeFill="background1"/>
                </w:tcPr>
                <w:p w:rsidR="008A44DD" w:rsidRPr="002B1182" w:rsidRDefault="008A44DD" w:rsidP="002B1182">
                  <w:pPr>
                    <w:spacing w:after="0" w:line="240" w:lineRule="auto"/>
                    <w:rPr>
                      <w:rFonts w:ascii="Times New Roman" w:eastAsia="Times New Roman" w:hAnsi="Times New Roman" w:cs="Times New Roman"/>
                      <w:szCs w:val="24"/>
                      <w:lang w:val="en-IE"/>
                    </w:rPr>
                  </w:pPr>
                </w:p>
              </w:tc>
            </w:tr>
            <w:tr w:rsidR="008A44DD" w:rsidRPr="002B1182" w:rsidTr="00E8328D">
              <w:trPr>
                <w:cantSplit/>
                <w:trHeight w:val="446"/>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Description of the investment strategy and objectives of the AIF and </w:t>
                  </w:r>
                  <w:r>
                    <w:rPr>
                      <w:rFonts w:ascii="Times New Roman" w:eastAsia="Times New Roman" w:hAnsi="Times New Roman" w:cs="Times New Roman"/>
                      <w:kern w:val="32"/>
                    </w:rPr>
                    <w:t xml:space="preserve">the types </w:t>
                  </w:r>
                  <w:r w:rsidRPr="002B1182">
                    <w:rPr>
                      <w:rFonts w:ascii="Times New Roman" w:eastAsia="Times New Roman" w:hAnsi="Times New Roman" w:cs="Times New Roman"/>
                      <w:kern w:val="32"/>
                    </w:rPr>
                    <w:t>of the underl</w:t>
                  </w:r>
                  <w:r>
                    <w:rPr>
                      <w:rFonts w:ascii="Times New Roman" w:eastAsia="Times New Roman" w:hAnsi="Times New Roman" w:cs="Times New Roman"/>
                      <w:kern w:val="32"/>
                    </w:rPr>
                    <w:t>y</w:t>
                  </w:r>
                  <w:r w:rsidRPr="002B1182">
                    <w:rPr>
                      <w:rFonts w:ascii="Times New Roman" w:eastAsia="Times New Roman" w:hAnsi="Times New Roman" w:cs="Times New Roman"/>
                      <w:kern w:val="32"/>
                    </w:rPr>
                    <w:t>ing funds (if AIF is a fund of funds)</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Information on where the master AIF is established </w:t>
                  </w:r>
                  <w:r>
                    <w:rPr>
                      <w:rFonts w:ascii="Times New Roman" w:eastAsia="Times New Roman" w:hAnsi="Times New Roman" w:cs="Times New Roman"/>
                      <w:kern w:val="32"/>
                    </w:rPr>
                    <w:t xml:space="preserve">in the case of a feeder AIF </w:t>
                  </w:r>
                  <w:r w:rsidRPr="002B1182">
                    <w:rPr>
                      <w:rFonts w:ascii="Times New Roman" w:eastAsia="Times New Roman" w:hAnsi="Times New Roman" w:cs="Times New Roman"/>
                      <w:kern w:val="32"/>
                    </w:rPr>
                    <w:t xml:space="preserve">and where the underlying funds are established if the AIF is a fund of funds </w:t>
                  </w:r>
                </w:p>
              </w:tc>
              <w:sdt>
                <w:sdtPr>
                  <w:rPr>
                    <w:rFonts w:ascii="Times New Roman" w:eastAsia="Times New Roman" w:hAnsi="Times New Roman" w:cs="Times New Roman"/>
                    <w:szCs w:val="24"/>
                  </w:rPr>
                  <w:id w:val="19099594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C05CF7"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93"/>
              </w:trPr>
              <w:tc>
                <w:tcPr>
                  <w:tcW w:w="7323" w:type="dxa"/>
                  <w:vMerge/>
                  <w:tcBorders>
                    <w:top w:val="nil"/>
                    <w:left w:val="nil"/>
                    <w:right w:val="single" w:sz="4" w:space="0" w:color="auto"/>
                  </w:tcBorders>
                </w:tcPr>
                <w:p w:rsidR="008A44DD" w:rsidRPr="002B1182" w:rsidRDefault="008A44DD" w:rsidP="002B1182">
                  <w:pPr>
                    <w:keepNext/>
                    <w:spacing w:after="0" w:line="240" w:lineRule="auto"/>
                    <w:ind w:left="459" w:right="175" w:hanging="567"/>
                    <w:jc w:val="both"/>
                    <w:outlineLvl w:val="0"/>
                    <w:rPr>
                      <w:rFonts w:ascii="Times New Roman" w:eastAsia="Times New Roman" w:hAnsi="Times New Roman" w:cs="Times New Roman"/>
                      <w:kern w:val="32"/>
                    </w:rPr>
                  </w:pPr>
                </w:p>
              </w:tc>
              <w:tc>
                <w:tcPr>
                  <w:tcW w:w="541" w:type="dxa"/>
                  <w:tcBorders>
                    <w:top w:val="single" w:sz="4" w:space="0" w:color="auto"/>
                    <w:left w:val="single" w:sz="4" w:space="0" w:color="auto"/>
                    <w:bottom w:val="nil"/>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nil"/>
                    <w:right w:val="single" w:sz="4" w:space="0" w:color="auto"/>
                  </w:tcBorders>
                  <w:shd w:val="clear" w:color="auto" w:fill="FFFF00"/>
                </w:tcPr>
                <w:p w:rsidR="008A44DD" w:rsidRDefault="008A44DD" w:rsidP="00FA2C12">
                  <w:pPr>
                    <w:spacing w:after="0" w:line="240" w:lineRule="auto"/>
                    <w:jc w:val="center"/>
                    <w:rPr>
                      <w:rFonts w:ascii="Times New Roman" w:eastAsia="Times New Roman" w:hAnsi="Times New Roman" w:cs="Times New Roman"/>
                      <w:szCs w:val="24"/>
                    </w:rPr>
                  </w:pPr>
                </w:p>
              </w:tc>
            </w:tr>
            <w:tr w:rsidR="008A44DD" w:rsidRPr="002B1182" w:rsidTr="00E8328D">
              <w:trPr>
                <w:cantSplit/>
                <w:trHeight w:val="109"/>
              </w:trPr>
              <w:tc>
                <w:tcPr>
                  <w:tcW w:w="7323" w:type="dxa"/>
                  <w:vMerge/>
                  <w:tcBorders>
                    <w:left w:val="nil"/>
                    <w:bottom w:val="nil"/>
                    <w:right w:val="single" w:sz="4" w:space="0" w:color="auto"/>
                  </w:tcBorders>
                </w:tcPr>
                <w:p w:rsidR="008A44DD" w:rsidRPr="002B1182" w:rsidRDefault="008A44DD" w:rsidP="002B1182">
                  <w:pPr>
                    <w:keepNext/>
                    <w:spacing w:after="0" w:line="240" w:lineRule="auto"/>
                    <w:ind w:left="459" w:right="175" w:hanging="567"/>
                    <w:jc w:val="both"/>
                    <w:outlineLvl w:val="0"/>
                    <w:rPr>
                      <w:rFonts w:ascii="Times New Roman" w:eastAsia="Times New Roman" w:hAnsi="Times New Roman" w:cs="Times New Roman"/>
                      <w:kern w:val="32"/>
                    </w:rPr>
                  </w:pPr>
                </w:p>
              </w:tc>
              <w:sdt>
                <w:sdtPr>
                  <w:rPr>
                    <w:rFonts w:ascii="Times New Roman" w:eastAsia="Times New Roman" w:hAnsi="Times New Roman" w:cs="Times New Roman"/>
                    <w:szCs w:val="24"/>
                  </w:rPr>
                  <w:id w:val="371117950"/>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single" w:sz="4" w:space="0" w:color="auto"/>
                      </w:tcBorders>
                      <w:shd w:val="clear" w:color="auto" w:fill="FFFF00"/>
                      <w:vAlign w:val="center"/>
                    </w:tcPr>
                    <w:p w:rsidR="008A44DD" w:rsidRPr="002B1182" w:rsidRDefault="00772AC8"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nil"/>
                    <w:left w:val="single" w:sz="4" w:space="0" w:color="auto"/>
                    <w:bottom w:val="single" w:sz="4" w:space="0" w:color="auto"/>
                    <w:right w:val="single" w:sz="4" w:space="0" w:color="auto"/>
                  </w:tcBorders>
                  <w:shd w:val="clear" w:color="auto" w:fill="FFFF00"/>
                </w:tcPr>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1"/>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Description of the types of assets in which the AIF may invest </w:t>
                  </w:r>
                </w:p>
              </w:tc>
              <w:sdt>
                <w:sdtPr>
                  <w:rPr>
                    <w:rFonts w:ascii="Times New Roman" w:eastAsia="Times New Roman" w:hAnsi="Times New Roman" w:cs="Times New Roman"/>
                    <w:szCs w:val="24"/>
                  </w:rPr>
                  <w:id w:val="117129707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7"/>
              </w:trPr>
              <w:tc>
                <w:tcPr>
                  <w:tcW w:w="7323" w:type="dxa"/>
                  <w:tcBorders>
                    <w:top w:val="nil"/>
                    <w:left w:val="nil"/>
                    <w:bottom w:val="nil"/>
                    <w:right w:val="single" w:sz="4" w:space="0" w:color="auto"/>
                  </w:tcBorders>
                </w:tcPr>
                <w:p w:rsidR="008A44DD" w:rsidRPr="002B1182" w:rsidRDefault="008A44DD">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Techniques </w:t>
                  </w:r>
                  <w:r w:rsidR="00530760">
                    <w:rPr>
                      <w:rFonts w:ascii="Times New Roman" w:eastAsia="Times New Roman" w:hAnsi="Times New Roman" w:cs="Times New Roman"/>
                      <w:kern w:val="32"/>
                    </w:rPr>
                    <w:t>the fund</w:t>
                  </w:r>
                  <w:r w:rsidR="00530760" w:rsidRPr="002B1182">
                    <w:rPr>
                      <w:rFonts w:ascii="Times New Roman" w:eastAsia="Times New Roman" w:hAnsi="Times New Roman" w:cs="Times New Roman"/>
                      <w:kern w:val="32"/>
                    </w:rPr>
                    <w:t xml:space="preserve"> </w:t>
                  </w:r>
                  <w:r w:rsidRPr="002B1182">
                    <w:rPr>
                      <w:rFonts w:ascii="Times New Roman" w:eastAsia="Times New Roman" w:hAnsi="Times New Roman" w:cs="Times New Roman"/>
                      <w:kern w:val="32"/>
                    </w:rPr>
                    <w:t xml:space="preserve">may employ and associated risks </w:t>
                  </w:r>
                </w:p>
              </w:tc>
              <w:sdt>
                <w:sdtPr>
                  <w:rPr>
                    <w:rFonts w:ascii="Times New Roman" w:eastAsia="Times New Roman" w:hAnsi="Times New Roman" w:cs="Times New Roman"/>
                    <w:szCs w:val="24"/>
                  </w:rPr>
                  <w:id w:val="-149973029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kern w:val="32"/>
                    </w:rPr>
                  </w:pPr>
                  <w:r w:rsidRPr="002B1182">
                    <w:rPr>
                      <w:rFonts w:ascii="Times New Roman" w:eastAsia="Times New Roman" w:hAnsi="Times New Roman" w:cs="Times New Roman"/>
                      <w:kern w:val="32"/>
                    </w:rPr>
                    <w:t>Any</w:t>
                  </w:r>
                  <w:r w:rsidRPr="002B1182">
                    <w:rPr>
                      <w:rFonts w:ascii="Times New Roman" w:eastAsia="Times New Roman" w:hAnsi="Times New Roman" w:cs="Times New Roman"/>
                      <w:bCs/>
                      <w:kern w:val="32"/>
                    </w:rPr>
                    <w:t xml:space="preserve"> applicable </w:t>
                  </w:r>
                  <w:r w:rsidR="008C067C">
                    <w:rPr>
                      <w:rFonts w:ascii="Times New Roman" w:eastAsia="Times New Roman" w:hAnsi="Times New Roman" w:cs="Times New Roman"/>
                      <w:bCs/>
                      <w:kern w:val="32"/>
                    </w:rPr>
                    <w:t>i</w:t>
                  </w:r>
                  <w:r w:rsidRPr="002B1182">
                    <w:rPr>
                      <w:rFonts w:ascii="Times New Roman" w:eastAsia="Times New Roman" w:hAnsi="Times New Roman" w:cs="Times New Roman"/>
                      <w:bCs/>
                      <w:kern w:val="32"/>
                    </w:rPr>
                    <w:t xml:space="preserve">nvestment </w:t>
                  </w:r>
                  <w:r w:rsidR="008C067C">
                    <w:rPr>
                      <w:rFonts w:ascii="Times New Roman" w:eastAsia="Times New Roman" w:hAnsi="Times New Roman" w:cs="Times New Roman"/>
                      <w:bCs/>
                      <w:kern w:val="32"/>
                    </w:rPr>
                    <w:t>r</w:t>
                  </w:r>
                  <w:r w:rsidRPr="002B1182">
                    <w:rPr>
                      <w:rFonts w:ascii="Times New Roman" w:eastAsia="Times New Roman" w:hAnsi="Times New Roman" w:cs="Times New Roman"/>
                      <w:bCs/>
                      <w:kern w:val="32"/>
                    </w:rPr>
                    <w:t xml:space="preserve">estrictions </w:t>
                  </w:r>
                </w:p>
              </w:tc>
              <w:sdt>
                <w:sdtPr>
                  <w:rPr>
                    <w:rFonts w:ascii="Times New Roman" w:eastAsia="Times New Roman" w:hAnsi="Times New Roman" w:cs="Times New Roman"/>
                    <w:bCs/>
                    <w:szCs w:val="24"/>
                  </w:rPr>
                  <w:id w:val="-33091447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FA2C12" w:rsidRDefault="008A44DD" w:rsidP="00FA2C12">
                      <w:pPr>
                        <w:spacing w:after="0" w:line="240" w:lineRule="auto"/>
                        <w:jc w:val="center"/>
                        <w:rPr>
                          <w:rFonts w:ascii="Times New Roman" w:eastAsia="Times New Roman" w:hAnsi="Times New Roman" w:cs="Times New Roman"/>
                          <w:bCs/>
                          <w:szCs w:val="24"/>
                        </w:rPr>
                      </w:pPr>
                      <w:r>
                        <w:rPr>
                          <w:rFonts w:ascii="MS Gothic" w:eastAsia="MS Gothic" w:hAnsi="MS Gothic" w:cs="Times New Roman" w:hint="eastAsia"/>
                          <w:bCs/>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bCs/>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53"/>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Circumstances in which the AIF may use leverage </w:t>
                  </w:r>
                </w:p>
              </w:tc>
              <w:sdt>
                <w:sdtPr>
                  <w:rPr>
                    <w:rFonts w:ascii="Times New Roman" w:eastAsia="Times New Roman" w:hAnsi="Times New Roman" w:cs="Times New Roman"/>
                    <w:szCs w:val="24"/>
                  </w:rPr>
                  <w:id w:val="50139227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40"/>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Types and sources of leverage permitted and associated risks </w:t>
                  </w:r>
                </w:p>
              </w:tc>
              <w:sdt>
                <w:sdtPr>
                  <w:rPr>
                    <w:rFonts w:ascii="Times New Roman" w:eastAsia="Times New Roman" w:hAnsi="Times New Roman" w:cs="Times New Roman"/>
                    <w:szCs w:val="24"/>
                  </w:rPr>
                  <w:id w:val="74792983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8"/>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Any restrictions on the use of leverage and any collateral and asset reuse arrangements </w:t>
                  </w:r>
                </w:p>
              </w:tc>
              <w:sdt>
                <w:sdtPr>
                  <w:rPr>
                    <w:rFonts w:ascii="Times New Roman" w:eastAsia="Times New Roman" w:hAnsi="Times New Roman" w:cs="Times New Roman"/>
                    <w:szCs w:val="24"/>
                  </w:rPr>
                  <w:id w:val="-164888282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71"/>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kern w:val="32"/>
                    </w:rPr>
                  </w:pPr>
                  <w:r w:rsidRPr="002B1182">
                    <w:rPr>
                      <w:rFonts w:ascii="Times New Roman" w:eastAsia="Times New Roman" w:hAnsi="Times New Roman" w:cs="Times New Roman"/>
                      <w:bCs/>
                      <w:kern w:val="32"/>
                    </w:rPr>
                    <w:t>Maximum level of leverage which the AIFM is entitled to employ</w:t>
                  </w:r>
                </w:p>
              </w:tc>
              <w:sdt>
                <w:sdtPr>
                  <w:rPr>
                    <w:rFonts w:ascii="Times New Roman" w:eastAsia="Times New Roman" w:hAnsi="Times New Roman" w:cs="Times New Roman"/>
                    <w:szCs w:val="24"/>
                  </w:rPr>
                  <w:id w:val="-444308843"/>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41"/>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A description of the procedures by which the AIF may change its investment strategy or investment policy, or both</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00651F">
                    <w:rPr>
                      <w:rFonts w:ascii="Times New Roman" w:eastAsia="Times New Roman" w:hAnsi="Times New Roman" w:cs="Times New Roman"/>
                      <w:color w:val="000000"/>
                      <w:kern w:val="32"/>
                    </w:rPr>
                    <w:t>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w:t>
                  </w: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sdt>
                  <w:sdtPr>
                    <w:rPr>
                      <w:rFonts w:ascii="Times New Roman" w:eastAsia="Times New Roman" w:hAnsi="Times New Roman" w:cs="Times New Roman"/>
                      <w:szCs w:val="24"/>
                    </w:rPr>
                    <w:id w:val="13733692"/>
                    <w14:checkbox>
                      <w14:checked w14:val="0"/>
                      <w14:checkedState w14:val="2612" w14:font="MS Gothic"/>
                      <w14:uncheckedState w14:val="2610" w14:font="MS Gothic"/>
                    </w14:checkbox>
                  </w:sdtPr>
                  <w:sdtEndPr/>
                  <w:sdtContent>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543"/>
              </w:trPr>
              <w:tc>
                <w:tcPr>
                  <w:tcW w:w="7323" w:type="dxa"/>
                  <w:vMerge/>
                  <w:tcBorders>
                    <w:left w:val="nil"/>
                    <w:bottom w:val="nil"/>
                    <w:right w:val="single" w:sz="4" w:space="0" w:color="auto"/>
                  </w:tcBorders>
                </w:tcPr>
                <w:p w:rsidR="008A44DD" w:rsidRPr="002B1182" w:rsidRDefault="008A44DD" w:rsidP="002B1182">
                  <w:pPr>
                    <w:spacing w:after="0" w:line="240" w:lineRule="auto"/>
                    <w:ind w:left="459" w:right="175" w:hanging="567"/>
                    <w:jc w:val="both"/>
                    <w:rPr>
                      <w:rFonts w:ascii="Times New Roman" w:eastAsia="Times New Roman" w:hAnsi="Times New Roman" w:cs="Times New Roman"/>
                    </w:rPr>
                  </w:pPr>
                </w:p>
              </w:tc>
              <w:sdt>
                <w:sdtPr>
                  <w:rPr>
                    <w:rFonts w:ascii="Times New Roman" w:eastAsia="Times New Roman" w:hAnsi="Times New Roman" w:cs="Times New Roman"/>
                    <w:szCs w:val="24"/>
                  </w:rPr>
                  <w:id w:val="8069740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97"/>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 xml:space="preserve">The identity of the AIFM, the AIF’s depositary, </w:t>
                  </w:r>
                  <w:r w:rsidR="00A61C68">
                    <w:rPr>
                      <w:rFonts w:ascii="Times New Roman" w:eastAsia="Times New Roman" w:hAnsi="Times New Roman" w:cs="Times New Roman"/>
                      <w:color w:val="000000"/>
                      <w:kern w:val="32"/>
                    </w:rPr>
                    <w:t xml:space="preserve">the </w:t>
                  </w:r>
                  <w:r w:rsidRPr="002B1182">
                    <w:rPr>
                      <w:rFonts w:ascii="Times New Roman" w:eastAsia="Times New Roman" w:hAnsi="Times New Roman" w:cs="Times New Roman"/>
                      <w:color w:val="000000"/>
                      <w:kern w:val="32"/>
                    </w:rPr>
                    <w:t>auditor and any other service providers and a description of their duties and the investors’ rights</w:t>
                  </w:r>
                </w:p>
              </w:tc>
              <w:sdt>
                <w:sdtPr>
                  <w:rPr>
                    <w:rFonts w:ascii="Times New Roman" w:eastAsia="Times New Roman" w:hAnsi="Times New Roman" w:cs="Times New Roman"/>
                    <w:szCs w:val="24"/>
                  </w:rPr>
                  <w:id w:val="16961123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 xml:space="preserve">A description of how the AIFM is complying with the own funds/ PII requirements </w:t>
                  </w:r>
                </w:p>
              </w:tc>
              <w:sdt>
                <w:sdtPr>
                  <w:rPr>
                    <w:rFonts w:ascii="Times New Roman" w:eastAsia="Times New Roman" w:hAnsi="Times New Roman" w:cs="Times New Roman"/>
                    <w:szCs w:val="24"/>
                  </w:rPr>
                  <w:id w:val="-19723548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35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A description of any delegated management function by the AIFM and of any safe-keeping function delegated by the depositary, the identification of the delegate and any conflicts of interest that may arise from such delegations</w:t>
                  </w:r>
                </w:p>
              </w:tc>
              <w:sdt>
                <w:sdtPr>
                  <w:rPr>
                    <w:rFonts w:ascii="Times New Roman" w:eastAsia="Times New Roman" w:hAnsi="Times New Roman" w:cs="Times New Roman"/>
                    <w:szCs w:val="24"/>
                  </w:rPr>
                  <w:id w:val="-153665598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47"/>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A description of the AIF’s valuation procedure and of the pricing methodology for valuing assets, including the methods used in valuing hard-to-value assets</w:t>
                  </w:r>
                </w:p>
              </w:tc>
              <w:sdt>
                <w:sdtPr>
                  <w:rPr>
                    <w:rFonts w:ascii="Times New Roman" w:eastAsia="Times New Roman" w:hAnsi="Times New Roman" w:cs="Times New Roman"/>
                    <w:szCs w:val="24"/>
                  </w:rPr>
                  <w:id w:val="10999127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312"/>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color w:val="275D81"/>
                      <w:kern w:val="32"/>
                    </w:rPr>
                  </w:pPr>
                  <w:r w:rsidRPr="002B1182">
                    <w:rPr>
                      <w:rFonts w:ascii="Times New Roman" w:eastAsia="Times New Roman" w:hAnsi="Times New Roman" w:cs="Times New Roman"/>
                      <w:color w:val="000000"/>
                      <w:kern w:val="32"/>
                    </w:rPr>
                    <w:t>A description of the AIF’s liquidity risk management, including the redemption rights both in normal and in exceptional circumstances, and the existing redemption arrangements with investors</w:t>
                  </w:r>
                </w:p>
              </w:tc>
              <w:sdt>
                <w:sdtPr>
                  <w:rPr>
                    <w:rFonts w:ascii="Times New Roman" w:eastAsia="Times New Roman" w:hAnsi="Times New Roman" w:cs="Times New Roman"/>
                    <w:szCs w:val="24"/>
                  </w:rPr>
                  <w:id w:val="145830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41"/>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A description of all fees, charges and expenses and of the maximum amounts thereof which are directly or indirec</w:t>
                  </w:r>
                  <w:r w:rsidRPr="002B1182">
                    <w:rPr>
                      <w:rFonts w:ascii="Times New Roman" w:eastAsia="Times New Roman" w:hAnsi="Times New Roman" w:cs="Times New Roman"/>
                      <w:kern w:val="32"/>
                    </w:rPr>
                    <w:t xml:space="preserve">tly </w:t>
                  </w:r>
                  <w:r w:rsidRPr="002B1182">
                    <w:rPr>
                      <w:rFonts w:ascii="Times New Roman" w:eastAsia="Times New Roman" w:hAnsi="Times New Roman" w:cs="Times New Roman"/>
                      <w:color w:val="000000"/>
                      <w:kern w:val="32"/>
                    </w:rPr>
                    <w:t>borne by investors</w:t>
                  </w:r>
                </w:p>
                <w:p w:rsidR="0039674D" w:rsidRPr="002B1182" w:rsidRDefault="008A44DD" w:rsidP="0039674D">
                  <w:pPr>
                    <w:keepNext/>
                    <w:numPr>
                      <w:ilvl w:val="0"/>
                      <w:numId w:val="6"/>
                    </w:numPr>
                    <w:tabs>
                      <w:tab w:val="left" w:pos="318"/>
                      <w:tab w:val="left" w:pos="459"/>
                    </w:tabs>
                    <w:spacing w:after="0" w:line="240" w:lineRule="auto"/>
                    <w:ind w:left="459" w:right="175" w:hanging="567"/>
                    <w:jc w:val="both"/>
                    <w:outlineLvl w:val="0"/>
                    <w:rPr>
                      <w:rFonts w:ascii="Times New Roman" w:eastAsia="Times New Roman" w:hAnsi="Times New Roman" w:cs="Times New Roman"/>
                      <w:b/>
                      <w:bCs/>
                      <w:color w:val="275D81"/>
                      <w:kern w:val="32"/>
                    </w:rPr>
                  </w:pPr>
                  <w:r w:rsidRPr="002B1182">
                    <w:rPr>
                      <w:rFonts w:ascii="Times New Roman" w:eastAsia="Times New Roman" w:hAnsi="Times New Roman" w:cs="Times New Roman"/>
                      <w:color w:val="000000"/>
                      <w:kern w:val="32"/>
                    </w:rPr>
                    <w:lastRenderedPageBreak/>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w:t>
                  </w: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sdt>
                  <w:sdtPr>
                    <w:rPr>
                      <w:rFonts w:ascii="Times New Roman" w:eastAsia="Times New Roman" w:hAnsi="Times New Roman" w:cs="Times New Roman"/>
                      <w:szCs w:val="24"/>
                    </w:rPr>
                    <w:id w:val="-1834059703"/>
                    <w14:checkbox>
                      <w14:checked w14:val="0"/>
                      <w14:checkedState w14:val="2612" w14:font="MS Gothic"/>
                      <w14:uncheckedState w14:val="2610" w14:font="MS Gothic"/>
                    </w14:checkbox>
                  </w:sdtPr>
                  <w:sdtEndPr/>
                  <w:sdtContent>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67"/>
              </w:trPr>
              <w:tc>
                <w:tcPr>
                  <w:tcW w:w="7323" w:type="dxa"/>
                  <w:vMerge/>
                  <w:tcBorders>
                    <w:left w:val="nil"/>
                    <w:bottom w:val="nil"/>
                    <w:right w:val="single" w:sz="4" w:space="0" w:color="auto"/>
                  </w:tcBorders>
                </w:tcPr>
                <w:p w:rsidR="008A44DD" w:rsidRPr="002B1182" w:rsidRDefault="008A44DD" w:rsidP="002B1182">
                  <w:pPr>
                    <w:spacing w:after="0" w:line="240" w:lineRule="auto"/>
                    <w:ind w:left="459" w:right="175" w:hanging="567"/>
                    <w:jc w:val="both"/>
                    <w:rPr>
                      <w:rFonts w:ascii="Times New Roman" w:eastAsia="Times New Roman" w:hAnsi="Times New Roman" w:cs="Times New Roman"/>
                      <w:b/>
                      <w:bCs/>
                      <w:u w:val="single"/>
                    </w:rPr>
                  </w:pP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p w:rsidR="008A44DD" w:rsidRPr="002B1182" w:rsidRDefault="008A44DD" w:rsidP="00FA2C12">
                  <w:pPr>
                    <w:spacing w:after="0" w:line="240" w:lineRule="auto"/>
                    <w:jc w:val="center"/>
                    <w:rPr>
                      <w:rFonts w:ascii="Times New Roman" w:eastAsia="Times New Roman" w:hAnsi="Times New Roman" w:cs="Times New Roman"/>
                      <w:szCs w:val="24"/>
                    </w:rPr>
                  </w:pPr>
                </w:p>
                <w:sdt>
                  <w:sdtPr>
                    <w:rPr>
                      <w:rFonts w:ascii="Times New Roman" w:eastAsia="Times New Roman" w:hAnsi="Times New Roman" w:cs="Times New Roman"/>
                      <w:szCs w:val="24"/>
                    </w:rPr>
                    <w:id w:val="-1341379537"/>
                    <w14:checkbox>
                      <w14:checked w14:val="0"/>
                      <w14:checkedState w14:val="2612" w14:font="MS Gothic"/>
                      <w14:uncheckedState w14:val="2610" w14:font="MS Gothic"/>
                    </w14:checkbox>
                  </w:sdtPr>
                  <w:sdtEndPr/>
                  <w:sdtContent>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4"/>
              </w:trPr>
              <w:tc>
                <w:tcPr>
                  <w:tcW w:w="7323" w:type="dxa"/>
                  <w:vMerge w:val="restart"/>
                  <w:tcBorders>
                    <w:top w:val="nil"/>
                    <w:left w:val="nil"/>
                    <w:right w:val="single" w:sz="4" w:space="0" w:color="auto"/>
                  </w:tcBorders>
                </w:tcPr>
                <w:p w:rsidR="0039674D" w:rsidRDefault="0039674D" w:rsidP="0039674D">
                  <w:pPr>
                    <w:keepNext/>
                    <w:numPr>
                      <w:ilvl w:val="0"/>
                      <w:numId w:val="6"/>
                    </w:numPr>
                    <w:tabs>
                      <w:tab w:val="left" w:pos="318"/>
                      <w:tab w:val="left" w:pos="459"/>
                    </w:tabs>
                    <w:spacing w:after="0" w:line="240" w:lineRule="auto"/>
                    <w:ind w:left="459" w:right="175" w:hanging="567"/>
                    <w:jc w:val="both"/>
                    <w:outlineLvl w:val="0"/>
                    <w:rPr>
                      <w:rFonts w:ascii="Times New Roman" w:eastAsia="Times New Roman" w:hAnsi="Times New Roman" w:cs="Times New Roman"/>
                      <w:color w:val="000000"/>
                      <w:kern w:val="32"/>
                    </w:rPr>
                  </w:pPr>
                  <w:r>
                    <w:rPr>
                      <w:rFonts w:ascii="Times New Roman" w:eastAsia="Times New Roman" w:hAnsi="Times New Roman" w:cs="Times New Roman"/>
                      <w:color w:val="000000"/>
                      <w:kern w:val="32"/>
                    </w:rPr>
                    <w:lastRenderedPageBreak/>
                    <w:t xml:space="preserve">  </w:t>
                  </w:r>
                  <w:r w:rsidRPr="002B1182">
                    <w:rPr>
                      <w:rFonts w:ascii="Times New Roman" w:eastAsia="Times New Roman" w:hAnsi="Times New Roman" w:cs="Times New Roman"/>
                      <w:color w:val="000000"/>
                      <w:kern w:val="32"/>
                    </w:rPr>
                    <w:t>Procedure and conditions for the issue and sale of units of shares</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 xml:space="preserve">The latest Net Asset Value of the AIF or the latest market price of the unit or share of the AIF </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Where available</w:t>
                  </w:r>
                  <w:r>
                    <w:rPr>
                      <w:rFonts w:ascii="Times New Roman" w:eastAsia="Times New Roman" w:hAnsi="Times New Roman" w:cs="Times New Roman"/>
                      <w:color w:val="000000"/>
                      <w:kern w:val="32"/>
                    </w:rPr>
                    <w:t>,</w:t>
                  </w:r>
                  <w:r w:rsidRPr="002B1182">
                    <w:rPr>
                      <w:rFonts w:ascii="Times New Roman" w:eastAsia="Times New Roman" w:hAnsi="Times New Roman" w:cs="Times New Roman"/>
                      <w:color w:val="000000"/>
                      <w:kern w:val="32"/>
                    </w:rPr>
                    <w:t xml:space="preserve"> the historical performance of the AIF </w:t>
                  </w:r>
                </w:p>
                <w:p w:rsidR="008A44DD" w:rsidRPr="000A3AD4" w:rsidRDefault="008A44DD" w:rsidP="00072AAC">
                  <w:pPr>
                    <w:keepNext/>
                    <w:numPr>
                      <w:ilvl w:val="0"/>
                      <w:numId w:val="6"/>
                    </w:numPr>
                    <w:tabs>
                      <w:tab w:val="left" w:pos="459"/>
                    </w:tabs>
                    <w:spacing w:after="0" w:line="240" w:lineRule="auto"/>
                    <w:ind w:left="459" w:right="175" w:hanging="567"/>
                    <w:jc w:val="both"/>
                    <w:outlineLvl w:val="0"/>
                    <w:rPr>
                      <w:rFonts w:ascii="Times New Roman" w:eastAsia="Times New Roman" w:hAnsi="Times New Roman" w:cs="Times New Roman"/>
                      <w:color w:val="000000"/>
                      <w:kern w:val="32"/>
                    </w:rPr>
                  </w:pPr>
                  <w:r w:rsidRPr="000A3AD4">
                    <w:rPr>
                      <w:rFonts w:ascii="Times New Roman" w:eastAsia="Times New Roman" w:hAnsi="Times New Roman" w:cs="Times New Roman"/>
                      <w:color w:val="000000"/>
                      <w:kern w:val="32"/>
                    </w:rPr>
                    <w:t xml:space="preserve">The identity of the prime broker and a description of any material </w:t>
                  </w:r>
                </w:p>
                <w:p w:rsidR="008A44DD" w:rsidRPr="00B3631C" w:rsidRDefault="008A44DD">
                  <w:pPr>
                    <w:keepNext/>
                    <w:tabs>
                      <w:tab w:val="left" w:pos="459"/>
                    </w:tabs>
                    <w:spacing w:after="0" w:line="240" w:lineRule="auto"/>
                    <w:ind w:left="459" w:right="175"/>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arrangements of the AIF with its prime brokers and the way the conflicts of interest in relation thereto are managed</w:t>
                  </w:r>
                  <w:r w:rsidR="008105DA">
                    <w:rPr>
                      <w:rFonts w:ascii="Times New Roman" w:eastAsia="Times New Roman" w:hAnsi="Times New Roman" w:cs="Times New Roman"/>
                      <w:color w:val="000000"/>
                      <w:kern w:val="32"/>
                    </w:rPr>
                    <w:t>,</w:t>
                  </w:r>
                  <w:r w:rsidRPr="002B1182">
                    <w:rPr>
                      <w:rFonts w:ascii="Times New Roman" w:eastAsia="Times New Roman" w:hAnsi="Times New Roman" w:cs="Times New Roman"/>
                      <w:color w:val="000000"/>
                      <w:kern w:val="32"/>
                    </w:rPr>
                    <w:t xml:space="preserve"> the provision in the contract with the depository on the possibility of transfer and reuse of AIF assets, and information about any transfer of liability to the prime broker that may exist</w:t>
                  </w:r>
                </w:p>
              </w:tc>
              <w:sdt>
                <w:sdtPr>
                  <w:rPr>
                    <w:rFonts w:ascii="Times New Roman" w:eastAsia="Times New Roman" w:hAnsi="Times New Roman" w:cs="Times New Roman"/>
                    <w:szCs w:val="24"/>
                  </w:rPr>
                  <w:id w:val="210175633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FC775D" w:rsidRPr="002B1182" w:rsidTr="00E8328D">
              <w:trPr>
                <w:cantSplit/>
                <w:trHeight w:val="470"/>
              </w:trPr>
              <w:tc>
                <w:tcPr>
                  <w:tcW w:w="7323" w:type="dxa"/>
                  <w:vMerge/>
                  <w:tcBorders>
                    <w:left w:val="nil"/>
                    <w:right w:val="single" w:sz="4" w:space="0" w:color="auto"/>
                  </w:tcBorders>
                </w:tcPr>
                <w:p w:rsidR="00FC775D" w:rsidRPr="002B1182" w:rsidRDefault="00FC775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1924333639"/>
                  <w14:checkbox>
                    <w14:checked w14:val="0"/>
                    <w14:checkedState w14:val="2612" w14:font="MS Gothic"/>
                    <w14:uncheckedState w14:val="2610" w14:font="MS Gothic"/>
                  </w14:checkbox>
                </w:sdtPr>
                <w:sdtEndPr/>
                <w:sdtContent>
                  <w:tc>
                    <w:tcPr>
                      <w:tcW w:w="13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FC775D"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r>
            <w:tr w:rsidR="008A44DD" w:rsidRPr="002B1182" w:rsidTr="00E8328D">
              <w:trPr>
                <w:cantSplit/>
                <w:trHeight w:val="232"/>
              </w:trPr>
              <w:tc>
                <w:tcPr>
                  <w:tcW w:w="7323" w:type="dxa"/>
                  <w:vMerge/>
                  <w:tcBorders>
                    <w:left w:val="nil"/>
                    <w:right w:val="single" w:sz="4" w:space="0" w:color="auto"/>
                  </w:tcBorders>
                </w:tcPr>
                <w:p w:rsidR="008A44DD" w:rsidRPr="002B1182" w:rsidRDefault="008A44D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57057799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772AC8"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87"/>
              </w:trPr>
              <w:tc>
                <w:tcPr>
                  <w:tcW w:w="7323" w:type="dxa"/>
                  <w:vMerge/>
                  <w:tcBorders>
                    <w:left w:val="nil"/>
                    <w:right w:val="single" w:sz="4" w:space="0" w:color="auto"/>
                  </w:tcBorders>
                </w:tcPr>
                <w:p w:rsidR="008A44DD" w:rsidRPr="002B1182" w:rsidRDefault="008A44D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126753854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FC775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2B1182" w:rsidRPr="002B1182" w:rsidRDefault="002B1182" w:rsidP="00C8750B">
            <w:pPr>
              <w:ind w:left="176"/>
              <w:jc w:val="both"/>
              <w:rPr>
                <w:rFonts w:ascii="Times New Roman" w:hAnsi="Times New Roman" w:cs="Times New Roman"/>
                <w:sz w:val="24"/>
                <w:szCs w:val="24"/>
              </w:rPr>
            </w:pPr>
          </w:p>
        </w:tc>
      </w:tr>
    </w:tbl>
    <w:p w:rsidR="00530760" w:rsidRDefault="00530760" w:rsidP="00B3631C">
      <w:pPr>
        <w:pStyle w:val="ListParagraph"/>
        <w:spacing w:after="0" w:line="240" w:lineRule="auto"/>
        <w:ind w:left="425"/>
        <w:jc w:val="both"/>
        <w:rPr>
          <w:rFonts w:ascii="Times New Roman" w:hAnsi="Times New Roman" w:cs="Times New Roman"/>
          <w:color w:val="000000" w:themeColor="text1"/>
          <w:sz w:val="24"/>
          <w:szCs w:val="24"/>
        </w:rPr>
      </w:pPr>
    </w:p>
    <w:p w:rsidR="00530760" w:rsidRDefault="00530760" w:rsidP="00B3631C">
      <w:pPr>
        <w:pStyle w:val="ListParagraph"/>
        <w:spacing w:after="0" w:line="240" w:lineRule="auto"/>
        <w:ind w:left="425"/>
        <w:jc w:val="both"/>
        <w:rPr>
          <w:rFonts w:ascii="Times New Roman" w:hAnsi="Times New Roman" w:cs="Times New Roman"/>
          <w:color w:val="000000" w:themeColor="text1"/>
          <w:sz w:val="24"/>
          <w:szCs w:val="24"/>
        </w:rPr>
      </w:pPr>
    </w:p>
    <w:p w:rsidR="00130FCA" w:rsidRDefault="00130FCA" w:rsidP="00130FCA">
      <w:pPr>
        <w:pStyle w:val="ListParagraph"/>
        <w:numPr>
          <w:ilvl w:val="1"/>
          <w:numId w:val="9"/>
        </w:numPr>
        <w:spacing w:after="0" w:line="240" w:lineRule="auto"/>
        <w:ind w:left="425" w:hanging="425"/>
        <w:jc w:val="both"/>
        <w:rPr>
          <w:rFonts w:ascii="Times New Roman" w:hAnsi="Times New Roman" w:cs="Times New Roman"/>
          <w:color w:val="000000" w:themeColor="text1"/>
          <w:sz w:val="24"/>
          <w:szCs w:val="24"/>
        </w:rPr>
      </w:pPr>
      <w:r w:rsidRPr="004055A1">
        <w:rPr>
          <w:rFonts w:ascii="Times New Roman" w:hAnsi="Times New Roman" w:cs="Times New Roman"/>
          <w:color w:val="000000" w:themeColor="text1"/>
          <w:sz w:val="24"/>
          <w:szCs w:val="24"/>
        </w:rPr>
        <w:t>Supply copies of the AIF rules or instruments of incorporation of each AIF under management</w:t>
      </w:r>
      <w:r w:rsidR="00A01626">
        <w:rPr>
          <w:rFonts w:ascii="Times New Roman" w:hAnsi="Times New Roman" w:cs="Times New Roman"/>
          <w:color w:val="000000" w:themeColor="text1"/>
          <w:sz w:val="24"/>
          <w:szCs w:val="24"/>
        </w:rPr>
        <w:t>.</w:t>
      </w: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C8750B" w:rsidRDefault="00C8750B">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130FCA" w:rsidRDefault="00130FCA">
      <w:pPr>
        <w:rPr>
          <w:rFonts w:ascii="Times New Roman" w:hAnsi="Times New Roman" w:cs="Times New Roman"/>
          <w:color w:val="000000" w:themeColor="text1"/>
        </w:rPr>
      </w:pPr>
    </w:p>
    <w:p w:rsidR="00130FCA" w:rsidRDefault="00130FCA">
      <w:pPr>
        <w:rPr>
          <w:rFonts w:ascii="Times New Roman" w:hAnsi="Times New Roman" w:cs="Times New Roman"/>
          <w:color w:val="000000" w:themeColor="text1"/>
        </w:rPr>
      </w:pPr>
    </w:p>
    <w:p w:rsidR="007F7A79" w:rsidRDefault="007F7A79" w:rsidP="007F7A79">
      <w:pPr>
        <w:spacing w:line="360" w:lineRule="auto"/>
        <w:jc w:val="center"/>
        <w:rPr>
          <w:rFonts w:ascii="Times New Roman" w:hAnsi="Times New Roman" w:cs="Times New Roman"/>
          <w:b/>
          <w:bCs/>
          <w:sz w:val="26"/>
          <w:szCs w:val="26"/>
        </w:rPr>
      </w:pPr>
      <w:r w:rsidRPr="00BF70E7">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3</w:t>
      </w:r>
      <w:r w:rsidRPr="00BF70E7">
        <w:rPr>
          <w:rFonts w:ascii="Times New Roman" w:hAnsi="Times New Roman" w:cs="Times New Roman"/>
          <w:b/>
          <w:bCs/>
          <w:sz w:val="26"/>
          <w:szCs w:val="26"/>
        </w:rPr>
        <w:t xml:space="preserve">: </w:t>
      </w:r>
      <w:r>
        <w:rPr>
          <w:rFonts w:ascii="Times New Roman" w:hAnsi="Times New Roman" w:cs="Times New Roman"/>
          <w:b/>
          <w:bCs/>
          <w:sz w:val="26"/>
          <w:szCs w:val="26"/>
        </w:rPr>
        <w:t xml:space="preserve">Regulatory Capital and Own Funds  </w:t>
      </w:r>
    </w:p>
    <w:p w:rsidR="007F7A79" w:rsidRDefault="007F7A79" w:rsidP="007F7A79">
      <w:pPr>
        <w:ind w:left="567"/>
        <w:jc w:val="both"/>
        <w:rPr>
          <w:rFonts w:ascii="Times New Roman" w:hAnsi="Times New Roman" w:cs="Times New Roman"/>
          <w:i/>
          <w:color w:val="808080" w:themeColor="background1" w:themeShade="80"/>
        </w:rPr>
      </w:pPr>
      <w:r w:rsidRPr="00576205">
        <w:rPr>
          <w:rFonts w:ascii="Times New Roman" w:hAnsi="Times New Roman" w:cs="Times New Roman"/>
          <w:i/>
          <w:color w:val="808080" w:themeColor="background1" w:themeShade="80"/>
        </w:rPr>
        <w:t xml:space="preserve">This section deals with the AIFM’s regulatory capital requirements and own funds in accordance with Article 9 of the Directive and Section 3 of Chapter II of the </w:t>
      </w:r>
      <w:r w:rsidR="00C8119D">
        <w:rPr>
          <w:rFonts w:ascii="Times New Roman" w:hAnsi="Times New Roman" w:cs="Times New Roman"/>
          <w:i/>
          <w:color w:val="808080" w:themeColor="background1" w:themeShade="80"/>
        </w:rPr>
        <w:t xml:space="preserve">Commission </w:t>
      </w:r>
      <w:r w:rsidRPr="00576205">
        <w:rPr>
          <w:rFonts w:ascii="Times New Roman" w:hAnsi="Times New Roman" w:cs="Times New Roman"/>
          <w:i/>
          <w:color w:val="808080" w:themeColor="background1" w:themeShade="80"/>
        </w:rPr>
        <w:t>Delegated Regulation</w:t>
      </w:r>
      <w:r w:rsidR="00822012">
        <w:rPr>
          <w:rFonts w:ascii="Times New Roman" w:hAnsi="Times New Roman" w:cs="Times New Roman"/>
          <w:i/>
          <w:color w:val="808080" w:themeColor="background1" w:themeShade="80"/>
        </w:rPr>
        <w:t>.</w:t>
      </w:r>
    </w:p>
    <w:p w:rsidR="0000651F" w:rsidRDefault="0000651F" w:rsidP="00B3631C">
      <w:pPr>
        <w:ind w:left="567"/>
        <w:jc w:val="both"/>
        <w:rPr>
          <w:rFonts w:ascii="Times New Roman" w:hAnsi="Times New Roman" w:cs="Times New Roman"/>
          <w:i/>
          <w:color w:val="808080" w:themeColor="background1" w:themeShade="80"/>
        </w:rPr>
      </w:pPr>
      <w:r w:rsidRPr="00B3631C">
        <w:rPr>
          <w:rFonts w:ascii="Times New Roman" w:hAnsi="Times New Roman" w:cs="Times New Roman"/>
          <w:i/>
          <w:color w:val="808080" w:themeColor="background1" w:themeShade="80"/>
        </w:rPr>
        <w:t>This section needs to be completed by internally managed AIFs and Fund Managers</w:t>
      </w:r>
      <w:r>
        <w:rPr>
          <w:rFonts w:ascii="Times New Roman" w:hAnsi="Times New Roman" w:cs="Times New Roman"/>
          <w:i/>
          <w:color w:val="808080" w:themeColor="background1" w:themeShade="80"/>
        </w:rPr>
        <w:t xml:space="preserve"> (inc</w:t>
      </w:r>
      <w:r w:rsidRPr="00B3631C">
        <w:rPr>
          <w:rFonts w:ascii="Times New Roman" w:hAnsi="Times New Roman" w:cs="Times New Roman"/>
          <w:i/>
          <w:color w:val="808080" w:themeColor="background1" w:themeShade="80"/>
        </w:rPr>
        <w:t>luding UCITS Management Companies</w:t>
      </w:r>
      <w:r w:rsidR="0034682C">
        <w:rPr>
          <w:rFonts w:ascii="Times New Roman" w:hAnsi="Times New Roman" w:cs="Times New Roman"/>
          <w:i/>
          <w:color w:val="808080" w:themeColor="background1" w:themeShade="80"/>
        </w:rPr>
        <w:t xml:space="preserve"> which also manage AIFs</w:t>
      </w:r>
      <w:r w:rsidRPr="00B3631C">
        <w:rPr>
          <w:rFonts w:ascii="Times New Roman" w:hAnsi="Times New Roman" w:cs="Times New Roman"/>
          <w:i/>
          <w:color w:val="808080" w:themeColor="background1" w:themeShade="80"/>
        </w:rPr>
        <w:t xml:space="preserve">).  </w:t>
      </w:r>
    </w:p>
    <w:p w:rsidR="007F7A79" w:rsidRDefault="007F7A79" w:rsidP="00072AAC">
      <w:pPr>
        <w:pStyle w:val="ListParagraph"/>
        <w:numPr>
          <w:ilvl w:val="1"/>
          <w:numId w:val="10"/>
        </w:numPr>
        <w:spacing w:after="0" w:line="240" w:lineRule="auto"/>
        <w:ind w:left="567" w:hanging="425"/>
        <w:jc w:val="both"/>
        <w:rPr>
          <w:rFonts w:ascii="Times New Roman" w:hAnsi="Times New Roman" w:cs="Times New Roman"/>
          <w:sz w:val="24"/>
          <w:szCs w:val="24"/>
        </w:rPr>
      </w:pPr>
      <w:r w:rsidRPr="007F7A79">
        <w:rPr>
          <w:rFonts w:ascii="Times New Roman" w:hAnsi="Times New Roman" w:cs="Times New Roman"/>
          <w:sz w:val="24"/>
          <w:szCs w:val="24"/>
        </w:rPr>
        <w:t>In the case of internally managed AIFs, specify how the AIF satisfies the minimum initial capital requirement of Euro 300,000</w:t>
      </w:r>
      <w:r w:rsidR="00245AF2">
        <w:rPr>
          <w:rFonts w:ascii="Times New Roman" w:hAnsi="Times New Roman" w:cs="Times New Roman"/>
          <w:sz w:val="24"/>
          <w:szCs w:val="24"/>
        </w:rPr>
        <w:t xml:space="preserve"> also with reference to Article 9(8) of the Directive</w:t>
      </w:r>
      <w:r w:rsidR="00822012">
        <w:rPr>
          <w:rFonts w:ascii="Times New Roman" w:hAnsi="Times New Roman" w:cs="Times New Roman"/>
          <w:sz w:val="24"/>
          <w:szCs w:val="24"/>
        </w:rPr>
        <w:t>.</w:t>
      </w:r>
    </w:p>
    <w:p w:rsidR="007F7A79" w:rsidRDefault="007F7A79" w:rsidP="007F7A79">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EA2CC5" w:rsidRPr="00C01DA9" w:rsidTr="00AE252A">
        <w:trPr>
          <w:trHeight w:val="207"/>
        </w:trPr>
        <w:tc>
          <w:tcPr>
            <w:tcW w:w="8789" w:type="dxa"/>
            <w:vMerge w:val="restart"/>
            <w:shd w:val="clear" w:color="000000" w:fill="FFFF00"/>
            <w:hideMark/>
          </w:tcPr>
          <w:p w:rsidR="00EA2CC5" w:rsidRPr="008E31CE" w:rsidRDefault="00EA2CC5"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EA2CC5" w:rsidRPr="00C01DA9" w:rsidRDefault="00EA2CC5"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EA2CC5" w:rsidRPr="00C01DA9" w:rsidTr="00AE252A">
        <w:trPr>
          <w:trHeight w:val="311"/>
        </w:trPr>
        <w:tc>
          <w:tcPr>
            <w:tcW w:w="8789" w:type="dxa"/>
            <w:vMerge/>
            <w:vAlign w:val="center"/>
            <w:hideMark/>
          </w:tcPr>
          <w:p w:rsidR="00EA2CC5" w:rsidRPr="00C01DA9" w:rsidRDefault="00EA2CC5" w:rsidP="00AE252A">
            <w:pPr>
              <w:spacing w:after="0" w:line="240" w:lineRule="auto"/>
              <w:jc w:val="both"/>
              <w:rPr>
                <w:rFonts w:ascii="Times New Roman" w:eastAsia="Times New Roman" w:hAnsi="Times New Roman" w:cs="Times New Roman"/>
                <w:sz w:val="18"/>
                <w:szCs w:val="18"/>
                <w:lang w:eastAsia="en-GB"/>
              </w:rPr>
            </w:pPr>
          </w:p>
        </w:tc>
      </w:tr>
    </w:tbl>
    <w:p w:rsidR="00EA2CC5" w:rsidRDefault="00EA2CC5" w:rsidP="007F7A79">
      <w:pPr>
        <w:pStyle w:val="ListParagraph"/>
        <w:spacing w:after="0" w:line="240" w:lineRule="auto"/>
        <w:ind w:left="567"/>
        <w:jc w:val="both"/>
        <w:rPr>
          <w:rFonts w:ascii="Times New Roman" w:hAnsi="Times New Roman" w:cs="Times New Roman"/>
          <w:sz w:val="24"/>
          <w:szCs w:val="24"/>
        </w:rPr>
      </w:pPr>
    </w:p>
    <w:p w:rsidR="007F7A79" w:rsidRPr="007F7A79" w:rsidRDefault="007F7A79" w:rsidP="007F7A79">
      <w:pPr>
        <w:pStyle w:val="ListParagraph"/>
        <w:spacing w:after="0" w:line="240" w:lineRule="auto"/>
        <w:ind w:left="567"/>
        <w:jc w:val="both"/>
        <w:rPr>
          <w:rFonts w:ascii="Times New Roman" w:hAnsi="Times New Roman" w:cs="Times New Roman"/>
          <w:sz w:val="24"/>
          <w:szCs w:val="24"/>
        </w:rPr>
      </w:pPr>
      <w:r w:rsidRPr="007F7A79">
        <w:rPr>
          <w:rFonts w:ascii="Times New Roman" w:hAnsi="Times New Roman" w:cs="Times New Roman"/>
          <w:sz w:val="24"/>
          <w:szCs w:val="24"/>
        </w:rPr>
        <w:t xml:space="preserve">Where </w:t>
      </w:r>
      <w:r w:rsidR="00822012">
        <w:rPr>
          <w:rFonts w:ascii="Times New Roman" w:hAnsi="Times New Roman" w:cs="Times New Roman"/>
          <w:sz w:val="24"/>
          <w:szCs w:val="24"/>
        </w:rPr>
        <w:t xml:space="preserve">the </w:t>
      </w:r>
      <w:r w:rsidRPr="007F7A79">
        <w:rPr>
          <w:rFonts w:ascii="Times New Roman" w:hAnsi="Times New Roman" w:cs="Times New Roman"/>
          <w:sz w:val="24"/>
          <w:szCs w:val="24"/>
        </w:rPr>
        <w:t>portfolio value exceeds Euro 250 million</w:t>
      </w:r>
      <w:r w:rsidR="00CA5577">
        <w:rPr>
          <w:rFonts w:ascii="Times New Roman" w:hAnsi="Times New Roman" w:cs="Times New Roman"/>
          <w:sz w:val="24"/>
          <w:szCs w:val="24"/>
        </w:rPr>
        <w:t>,</w:t>
      </w:r>
      <w:r w:rsidRPr="007F7A79">
        <w:rPr>
          <w:rFonts w:ascii="Times New Roman" w:hAnsi="Times New Roman" w:cs="Times New Roman"/>
          <w:sz w:val="24"/>
          <w:szCs w:val="24"/>
        </w:rPr>
        <w:t xml:space="preserve"> show how the additional own fund requirements as specified in Article 9 of the Directive are satisfied and specify the types of assets in which the own funds are invested in accordance </w:t>
      </w:r>
      <w:r w:rsidR="00822012">
        <w:rPr>
          <w:rFonts w:ascii="Times New Roman" w:hAnsi="Times New Roman" w:cs="Times New Roman"/>
          <w:sz w:val="24"/>
          <w:szCs w:val="24"/>
        </w:rPr>
        <w:t>with</w:t>
      </w:r>
      <w:r w:rsidR="00822012" w:rsidRPr="007F7A79">
        <w:rPr>
          <w:rFonts w:ascii="Times New Roman" w:hAnsi="Times New Roman" w:cs="Times New Roman"/>
          <w:sz w:val="24"/>
          <w:szCs w:val="24"/>
        </w:rPr>
        <w:t xml:space="preserve"> </w:t>
      </w:r>
      <w:r w:rsidRPr="007F7A79">
        <w:rPr>
          <w:rFonts w:ascii="Times New Roman" w:hAnsi="Times New Roman" w:cs="Times New Roman"/>
          <w:sz w:val="24"/>
          <w:szCs w:val="24"/>
        </w:rPr>
        <w:t>Article 9(8) of the Directive</w:t>
      </w:r>
      <w:r w:rsidR="00822012">
        <w:rPr>
          <w:rFonts w:ascii="Times New Roman" w:hAnsi="Times New Roman" w:cs="Times New Roman"/>
          <w:sz w:val="24"/>
          <w:szCs w:val="24"/>
        </w:rPr>
        <w:t>.</w:t>
      </w:r>
    </w:p>
    <w:p w:rsidR="007F7A79" w:rsidRPr="007F7A79" w:rsidRDefault="007F7A79" w:rsidP="007F7A79">
      <w:pPr>
        <w:spacing w:line="240" w:lineRule="auto"/>
        <w:contextualSpacing/>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7F7A79">
        <w:trPr>
          <w:trHeight w:val="207"/>
        </w:trPr>
        <w:tc>
          <w:tcPr>
            <w:tcW w:w="8789" w:type="dxa"/>
            <w:vMerge w:val="restart"/>
            <w:shd w:val="clear" w:color="000000" w:fill="FFFF00"/>
            <w:hideMark/>
          </w:tcPr>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7F7A79" w:rsidRPr="00C01DA9" w:rsidTr="007F7A79">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295D38" w:rsidRPr="00295D38" w:rsidRDefault="00295D38" w:rsidP="00295D38">
      <w:pPr>
        <w:pStyle w:val="ListParagraph"/>
        <w:spacing w:after="0" w:line="240" w:lineRule="auto"/>
        <w:ind w:left="567"/>
        <w:jc w:val="both"/>
        <w:rPr>
          <w:rFonts w:ascii="Times New Roman" w:hAnsi="Times New Roman" w:cs="Times New Roman"/>
          <w:color w:val="000000" w:themeColor="text1"/>
        </w:rPr>
      </w:pPr>
    </w:p>
    <w:p w:rsidR="004055A1" w:rsidRPr="007F7A79" w:rsidRDefault="001B66A4" w:rsidP="00072AAC">
      <w:pPr>
        <w:pStyle w:val="ListParagraph"/>
        <w:numPr>
          <w:ilvl w:val="1"/>
          <w:numId w:val="10"/>
        </w:numPr>
        <w:spacing w:after="0" w:line="240" w:lineRule="auto"/>
        <w:ind w:left="567" w:hanging="425"/>
        <w:jc w:val="both"/>
        <w:rPr>
          <w:rFonts w:ascii="Times New Roman" w:hAnsi="Times New Roman" w:cs="Times New Roman"/>
          <w:color w:val="000000" w:themeColor="text1"/>
        </w:rPr>
      </w:pPr>
      <w:r>
        <w:rPr>
          <w:rFonts w:ascii="Times New Roman" w:hAnsi="Times New Roman" w:cs="Times New Roman"/>
          <w:sz w:val="24"/>
          <w:szCs w:val="24"/>
        </w:rPr>
        <w:t xml:space="preserve">(a) </w:t>
      </w:r>
      <w:r w:rsidR="007F7A79" w:rsidRPr="007F7A79">
        <w:rPr>
          <w:rFonts w:ascii="Times New Roman" w:hAnsi="Times New Roman" w:cs="Times New Roman"/>
          <w:sz w:val="24"/>
          <w:szCs w:val="24"/>
        </w:rPr>
        <w:t xml:space="preserve">In the case of </w:t>
      </w:r>
      <w:r>
        <w:rPr>
          <w:rFonts w:ascii="Times New Roman" w:hAnsi="Times New Roman" w:cs="Times New Roman"/>
          <w:sz w:val="24"/>
          <w:szCs w:val="24"/>
        </w:rPr>
        <w:t>an external manager</w:t>
      </w:r>
      <w:r w:rsidR="007F7A79" w:rsidRPr="007F7A79">
        <w:rPr>
          <w:rFonts w:ascii="Times New Roman" w:hAnsi="Times New Roman" w:cs="Times New Roman"/>
          <w:sz w:val="24"/>
          <w:szCs w:val="24"/>
        </w:rPr>
        <w:t>, show how the additional own fund</w:t>
      </w:r>
      <w:r>
        <w:rPr>
          <w:rFonts w:ascii="Times New Roman" w:hAnsi="Times New Roman" w:cs="Times New Roman"/>
          <w:sz w:val="24"/>
          <w:szCs w:val="24"/>
        </w:rPr>
        <w:t>s</w:t>
      </w:r>
      <w:r w:rsidR="007F7A79" w:rsidRPr="007F7A79">
        <w:rPr>
          <w:rFonts w:ascii="Times New Roman" w:hAnsi="Times New Roman" w:cs="Times New Roman"/>
          <w:sz w:val="24"/>
          <w:szCs w:val="24"/>
        </w:rPr>
        <w:t xml:space="preserve"> requirements as specified in Article 9 of the Directive are satisfied </w:t>
      </w:r>
      <w:r w:rsidRPr="007F7A79">
        <w:rPr>
          <w:rFonts w:ascii="Times New Roman" w:hAnsi="Times New Roman" w:cs="Times New Roman"/>
          <w:sz w:val="24"/>
          <w:szCs w:val="24"/>
        </w:rPr>
        <w:t xml:space="preserve">where </w:t>
      </w:r>
      <w:r>
        <w:rPr>
          <w:rFonts w:ascii="Times New Roman" w:hAnsi="Times New Roman" w:cs="Times New Roman"/>
          <w:sz w:val="24"/>
          <w:szCs w:val="24"/>
        </w:rPr>
        <w:t xml:space="preserve">the </w:t>
      </w:r>
      <w:r w:rsidRPr="007F7A79">
        <w:rPr>
          <w:rFonts w:ascii="Times New Roman" w:hAnsi="Times New Roman" w:cs="Times New Roman"/>
          <w:sz w:val="24"/>
          <w:szCs w:val="24"/>
        </w:rPr>
        <w:t>portfolio value exceeds Euro 250 million</w:t>
      </w:r>
      <w:r w:rsidR="00CA5577">
        <w:rPr>
          <w:rFonts w:ascii="Times New Roman" w:hAnsi="Times New Roman" w:cs="Times New Roman"/>
          <w:sz w:val="24"/>
          <w:szCs w:val="24"/>
        </w:rPr>
        <w:t>,</w:t>
      </w:r>
      <w:r w:rsidRPr="007F7A79">
        <w:rPr>
          <w:rFonts w:ascii="Times New Roman" w:hAnsi="Times New Roman" w:cs="Times New Roman"/>
          <w:sz w:val="24"/>
          <w:szCs w:val="24"/>
        </w:rPr>
        <w:t xml:space="preserve"> </w:t>
      </w:r>
      <w:r w:rsidR="007F7A79" w:rsidRPr="007F7A79">
        <w:rPr>
          <w:rFonts w:ascii="Times New Roman" w:hAnsi="Times New Roman" w:cs="Times New Roman"/>
          <w:sz w:val="24"/>
          <w:szCs w:val="24"/>
        </w:rPr>
        <w:t>specify</w:t>
      </w:r>
      <w:r>
        <w:rPr>
          <w:rFonts w:ascii="Times New Roman" w:hAnsi="Times New Roman" w:cs="Times New Roman"/>
          <w:sz w:val="24"/>
          <w:szCs w:val="24"/>
        </w:rPr>
        <w:t>ing</w:t>
      </w:r>
      <w:r w:rsidR="007F7A79" w:rsidRPr="007F7A79">
        <w:rPr>
          <w:rFonts w:ascii="Times New Roman" w:hAnsi="Times New Roman" w:cs="Times New Roman"/>
          <w:sz w:val="24"/>
          <w:szCs w:val="24"/>
        </w:rPr>
        <w:t xml:space="preserve"> the types of assets in which the own funds are invested in accordance </w:t>
      </w:r>
      <w:r>
        <w:rPr>
          <w:rFonts w:ascii="Times New Roman" w:hAnsi="Times New Roman" w:cs="Times New Roman"/>
          <w:sz w:val="24"/>
          <w:szCs w:val="24"/>
        </w:rPr>
        <w:t>with</w:t>
      </w:r>
      <w:r w:rsidRPr="007F7A79">
        <w:rPr>
          <w:rFonts w:ascii="Times New Roman" w:hAnsi="Times New Roman" w:cs="Times New Roman"/>
          <w:sz w:val="24"/>
          <w:szCs w:val="24"/>
        </w:rPr>
        <w:t xml:space="preserve"> </w:t>
      </w:r>
      <w:r w:rsidR="007F7A79" w:rsidRPr="007F7A79">
        <w:rPr>
          <w:rFonts w:ascii="Times New Roman" w:hAnsi="Times New Roman" w:cs="Times New Roman"/>
          <w:sz w:val="24"/>
          <w:szCs w:val="24"/>
        </w:rPr>
        <w:t>Article 9(8) of the Directive</w:t>
      </w:r>
      <w:r>
        <w:rPr>
          <w:rFonts w:ascii="Times New Roman" w:hAnsi="Times New Roman" w:cs="Times New Roman"/>
          <w:sz w:val="24"/>
          <w:szCs w:val="24"/>
        </w:rPr>
        <w:t>.</w:t>
      </w:r>
    </w:p>
    <w:p w:rsidR="007F7A79" w:rsidRPr="007F7A79" w:rsidRDefault="007F7A79" w:rsidP="007F7A79">
      <w:pPr>
        <w:pStyle w:val="ListParagraph"/>
        <w:spacing w:after="0" w:line="240" w:lineRule="auto"/>
        <w:ind w:left="567"/>
        <w:jc w:val="both"/>
        <w:rPr>
          <w:rFonts w:ascii="Times New Roman" w:hAnsi="Times New Roman" w:cs="Times New Roman"/>
          <w:color w:val="000000" w:themeColor="text1"/>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AE252A">
        <w:trPr>
          <w:trHeight w:val="207"/>
        </w:trPr>
        <w:tc>
          <w:tcPr>
            <w:tcW w:w="8789" w:type="dxa"/>
            <w:vMerge w:val="restart"/>
            <w:shd w:val="clear" w:color="000000" w:fill="FFFF00"/>
            <w:hideMark/>
          </w:tcPr>
          <w:p w:rsidR="007B319D" w:rsidRDefault="007B319D" w:rsidP="00AE252A">
            <w:pPr>
              <w:spacing w:after="0" w:line="240" w:lineRule="auto"/>
              <w:jc w:val="both"/>
              <w:rPr>
                <w:rFonts w:ascii="Arial" w:hAnsi="Arial"/>
                <w:szCs w:val="24"/>
              </w:rPr>
            </w:pPr>
          </w:p>
          <w:p w:rsidR="007F7A79" w:rsidRDefault="007B319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r w:rsidR="007F7A79" w:rsidRPr="00D8356D">
              <w:rPr>
                <w:rFonts w:ascii="Times New Roman" w:eastAsia="Times New Roman" w:hAnsi="Times New Roman" w:cs="Times New Roman"/>
                <w:sz w:val="18"/>
                <w:szCs w:val="18"/>
                <w:lang w:eastAsia="en-GB"/>
              </w:rPr>
              <w:br/>
            </w: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r w:rsidR="007F7A79" w:rsidRPr="00C01DA9" w:rsidTr="00AE252A">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295D38" w:rsidRDefault="00295D38" w:rsidP="00295D38">
      <w:pPr>
        <w:pStyle w:val="ListParagraph"/>
        <w:spacing w:after="0" w:line="240" w:lineRule="auto"/>
        <w:ind w:left="567"/>
        <w:jc w:val="both"/>
        <w:rPr>
          <w:rFonts w:ascii="Times New Roman" w:hAnsi="Times New Roman" w:cs="Times New Roman"/>
          <w:sz w:val="24"/>
          <w:szCs w:val="24"/>
        </w:rPr>
      </w:pPr>
    </w:p>
    <w:p w:rsidR="007F7A79" w:rsidRDefault="001B66A4" w:rsidP="00B3631C">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7F7A79" w:rsidRPr="007F7A79">
        <w:rPr>
          <w:rFonts w:ascii="Times New Roman" w:hAnsi="Times New Roman" w:cs="Times New Roman"/>
          <w:sz w:val="24"/>
          <w:szCs w:val="24"/>
        </w:rPr>
        <w:t xml:space="preserve">If the AIFM partly satisfies its </w:t>
      </w:r>
      <w:r w:rsidRPr="0000651F">
        <w:rPr>
          <w:rFonts w:ascii="Times New Roman" w:hAnsi="Times New Roman" w:cs="Times New Roman"/>
          <w:sz w:val="24"/>
          <w:szCs w:val="24"/>
        </w:rPr>
        <w:t>additional</w:t>
      </w:r>
      <w:r>
        <w:rPr>
          <w:rFonts w:ascii="Times New Roman" w:hAnsi="Times New Roman" w:cs="Times New Roman"/>
          <w:sz w:val="24"/>
          <w:szCs w:val="24"/>
        </w:rPr>
        <w:t xml:space="preserve"> </w:t>
      </w:r>
      <w:r w:rsidR="007F7A79" w:rsidRPr="007F7A79">
        <w:rPr>
          <w:rFonts w:ascii="Times New Roman" w:hAnsi="Times New Roman" w:cs="Times New Roman"/>
          <w:sz w:val="24"/>
          <w:szCs w:val="24"/>
        </w:rPr>
        <w:t>own fund</w:t>
      </w:r>
      <w:r>
        <w:rPr>
          <w:rFonts w:ascii="Times New Roman" w:hAnsi="Times New Roman" w:cs="Times New Roman"/>
          <w:sz w:val="24"/>
          <w:szCs w:val="24"/>
        </w:rPr>
        <w:t>s</w:t>
      </w:r>
      <w:r w:rsidR="007F7A79" w:rsidRPr="007F7A79">
        <w:rPr>
          <w:rFonts w:ascii="Times New Roman" w:hAnsi="Times New Roman" w:cs="Times New Roman"/>
          <w:sz w:val="24"/>
          <w:szCs w:val="24"/>
        </w:rPr>
        <w:t xml:space="preserve"> requirements by way of guarantee, provide details</w:t>
      </w:r>
      <w:r w:rsidR="00CA5577">
        <w:rPr>
          <w:rFonts w:ascii="Times New Roman" w:hAnsi="Times New Roman" w:cs="Times New Roman"/>
          <w:sz w:val="24"/>
          <w:szCs w:val="24"/>
        </w:rPr>
        <w:t xml:space="preserve"> relative to the guarantee,</w:t>
      </w:r>
      <w:r w:rsidR="007F7A79" w:rsidRPr="007F7A79">
        <w:rPr>
          <w:rFonts w:ascii="Times New Roman" w:hAnsi="Times New Roman" w:cs="Times New Roman"/>
          <w:sz w:val="24"/>
          <w:szCs w:val="24"/>
        </w:rPr>
        <w:t xml:space="preserve"> including information on the credit institution/insurer underwriting the guarantee</w:t>
      </w:r>
      <w:r w:rsidR="00CA5577">
        <w:rPr>
          <w:rFonts w:ascii="Times New Roman" w:hAnsi="Times New Roman" w:cs="Times New Roman"/>
          <w:sz w:val="24"/>
          <w:szCs w:val="24"/>
        </w:rPr>
        <w:t xml:space="preserve"> and</w:t>
      </w:r>
      <w:r w:rsidR="007F7A79" w:rsidRPr="007F7A79">
        <w:rPr>
          <w:rFonts w:ascii="Times New Roman" w:hAnsi="Times New Roman" w:cs="Times New Roman"/>
          <w:sz w:val="24"/>
          <w:szCs w:val="24"/>
        </w:rPr>
        <w:t xml:space="preserve"> details </w:t>
      </w:r>
      <w:r w:rsidR="00CA5577">
        <w:rPr>
          <w:rFonts w:ascii="Times New Roman" w:hAnsi="Times New Roman" w:cs="Times New Roman"/>
          <w:sz w:val="24"/>
          <w:szCs w:val="24"/>
        </w:rPr>
        <w:t>on</w:t>
      </w:r>
      <w:r w:rsidR="007F7A79" w:rsidRPr="007F7A79">
        <w:rPr>
          <w:rFonts w:ascii="Times New Roman" w:hAnsi="Times New Roman" w:cs="Times New Roman"/>
          <w:sz w:val="24"/>
          <w:szCs w:val="24"/>
        </w:rPr>
        <w:t xml:space="preserve"> </w:t>
      </w:r>
      <w:r w:rsidR="00CA5577">
        <w:rPr>
          <w:rFonts w:ascii="Times New Roman" w:hAnsi="Times New Roman" w:cs="Times New Roman"/>
          <w:sz w:val="24"/>
          <w:szCs w:val="24"/>
        </w:rPr>
        <w:t>its</w:t>
      </w:r>
      <w:r w:rsidR="007F7A79" w:rsidRPr="007F7A79">
        <w:rPr>
          <w:rFonts w:ascii="Times New Roman" w:hAnsi="Times New Roman" w:cs="Times New Roman"/>
          <w:sz w:val="24"/>
          <w:szCs w:val="24"/>
        </w:rPr>
        <w:t xml:space="preserve"> registered office in accordance with Article 9(6) of the Directive</w:t>
      </w:r>
      <w:r>
        <w:rPr>
          <w:rFonts w:ascii="Times New Roman" w:hAnsi="Times New Roman" w:cs="Times New Roman"/>
          <w:sz w:val="24"/>
          <w:szCs w:val="24"/>
        </w:rPr>
        <w:t>.</w:t>
      </w:r>
    </w:p>
    <w:p w:rsidR="00802278" w:rsidRPr="007F7A79" w:rsidRDefault="00802278" w:rsidP="00802278">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AE252A">
        <w:trPr>
          <w:trHeight w:val="207"/>
        </w:trPr>
        <w:tc>
          <w:tcPr>
            <w:tcW w:w="8789" w:type="dxa"/>
            <w:vMerge w:val="restart"/>
            <w:shd w:val="clear" w:color="000000" w:fill="FFFF00"/>
            <w:hideMark/>
          </w:tcPr>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r w:rsidR="007F7A79" w:rsidRPr="00C01DA9" w:rsidTr="00AE252A">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EA2CC5" w:rsidRDefault="00EA2CC5" w:rsidP="007F7A79">
      <w:pPr>
        <w:spacing w:line="240" w:lineRule="auto"/>
        <w:ind w:left="142"/>
        <w:jc w:val="center"/>
        <w:rPr>
          <w:rFonts w:ascii="Times New Roman" w:hAnsi="Times New Roman" w:cs="Times New Roman"/>
          <w:b/>
          <w:bCs/>
          <w:sz w:val="26"/>
          <w:szCs w:val="26"/>
        </w:rPr>
      </w:pPr>
    </w:p>
    <w:p w:rsidR="007B319D" w:rsidRDefault="007B319D" w:rsidP="007F7A79">
      <w:pPr>
        <w:spacing w:line="240" w:lineRule="auto"/>
        <w:ind w:left="142"/>
        <w:jc w:val="center"/>
        <w:rPr>
          <w:rFonts w:ascii="Times New Roman" w:hAnsi="Times New Roman" w:cs="Times New Roman"/>
          <w:b/>
          <w:bCs/>
          <w:sz w:val="26"/>
          <w:szCs w:val="26"/>
        </w:rPr>
      </w:pPr>
    </w:p>
    <w:p w:rsidR="007B319D" w:rsidRDefault="007B319D" w:rsidP="007F7A79">
      <w:pPr>
        <w:spacing w:line="240" w:lineRule="auto"/>
        <w:ind w:left="142"/>
        <w:jc w:val="center"/>
        <w:rPr>
          <w:rFonts w:ascii="Times New Roman" w:hAnsi="Times New Roman" w:cs="Times New Roman"/>
          <w:b/>
          <w:bCs/>
          <w:sz w:val="26"/>
          <w:szCs w:val="26"/>
        </w:rPr>
      </w:pPr>
    </w:p>
    <w:p w:rsidR="007F7A79" w:rsidRPr="007F7A79" w:rsidRDefault="007F7A79" w:rsidP="007F7A79">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4: Additional Regulatory Capital and Own Funds </w:t>
      </w:r>
      <w:r w:rsidRPr="007F7A79">
        <w:rPr>
          <w:rFonts w:ascii="Times New Roman" w:hAnsi="Times New Roman" w:cs="Times New Roman"/>
          <w:color w:val="000000" w:themeColor="text1"/>
          <w:sz w:val="26"/>
          <w:szCs w:val="26"/>
        </w:rPr>
        <w:t xml:space="preserve">/ </w:t>
      </w:r>
      <w:r w:rsidRPr="007F7A79">
        <w:rPr>
          <w:rFonts w:ascii="Times New Roman" w:hAnsi="Times New Roman" w:cs="Times New Roman"/>
          <w:b/>
          <w:color w:val="000000" w:themeColor="text1"/>
          <w:sz w:val="26"/>
          <w:szCs w:val="26"/>
        </w:rPr>
        <w:t>Professional Indemnity Insurance covering Professional Liability Risks</w:t>
      </w:r>
    </w:p>
    <w:p w:rsidR="007F7A79" w:rsidRDefault="007F7A79" w:rsidP="00FC399C">
      <w:pPr>
        <w:ind w:left="567" w:right="-58"/>
        <w:jc w:val="both"/>
        <w:rPr>
          <w:rFonts w:ascii="Times New Roman" w:hAnsi="Times New Roman" w:cs="Times New Roman"/>
          <w:i/>
          <w:color w:val="808080" w:themeColor="background1" w:themeShade="80"/>
        </w:rPr>
      </w:pPr>
      <w:r w:rsidRPr="00576205">
        <w:rPr>
          <w:rFonts w:ascii="Times New Roman" w:hAnsi="Times New Roman" w:cs="Times New Roman"/>
          <w:i/>
          <w:color w:val="808080" w:themeColor="background1" w:themeShade="80"/>
        </w:rPr>
        <w:t xml:space="preserve">This section deals with the professional liability risks in accordance with Article 9 of the Directive and Section 3 of Chapter II of the </w:t>
      </w:r>
      <w:r w:rsidR="00BF7C7E">
        <w:rPr>
          <w:rFonts w:ascii="Times New Roman" w:hAnsi="Times New Roman" w:cs="Times New Roman"/>
          <w:i/>
          <w:color w:val="808080" w:themeColor="background1" w:themeShade="80"/>
        </w:rPr>
        <w:t xml:space="preserve">Commission </w:t>
      </w:r>
      <w:r w:rsidRPr="00576205">
        <w:rPr>
          <w:rFonts w:ascii="Times New Roman" w:hAnsi="Times New Roman" w:cs="Times New Roman"/>
          <w:i/>
          <w:color w:val="808080" w:themeColor="background1" w:themeShade="80"/>
        </w:rPr>
        <w:t>Delegated Regulation.</w:t>
      </w:r>
    </w:p>
    <w:p w:rsidR="007F0D63" w:rsidRPr="00576205" w:rsidRDefault="007F0D63" w:rsidP="007F0D63">
      <w:pPr>
        <w:ind w:left="567"/>
        <w:jc w:val="both"/>
        <w:rPr>
          <w:rFonts w:ascii="Times New Roman" w:hAnsi="Times New Roman" w:cs="Times New Roman"/>
          <w:i/>
          <w:color w:val="808080" w:themeColor="background1" w:themeShade="80"/>
        </w:rPr>
      </w:pPr>
      <w:r w:rsidRPr="007D47D0">
        <w:rPr>
          <w:rFonts w:ascii="Times New Roman" w:hAnsi="Times New Roman" w:cs="Times New Roman"/>
          <w:i/>
          <w:color w:val="808080" w:themeColor="background1" w:themeShade="80"/>
        </w:rPr>
        <w:t>This section needs to be completed by internally managed AIFs and Fund Managers (</w:t>
      </w:r>
      <w:r>
        <w:rPr>
          <w:rFonts w:ascii="Times New Roman" w:hAnsi="Times New Roman" w:cs="Times New Roman"/>
          <w:i/>
          <w:color w:val="808080" w:themeColor="background1" w:themeShade="80"/>
        </w:rPr>
        <w:t>inc</w:t>
      </w:r>
      <w:r w:rsidRPr="007D47D0">
        <w:rPr>
          <w:rFonts w:ascii="Times New Roman" w:hAnsi="Times New Roman" w:cs="Times New Roman"/>
          <w:i/>
          <w:color w:val="808080" w:themeColor="background1" w:themeShade="80"/>
        </w:rPr>
        <w:t>luding UCITS Management Companies</w:t>
      </w:r>
      <w:r w:rsidR="0034682C">
        <w:rPr>
          <w:rFonts w:ascii="Times New Roman" w:hAnsi="Times New Roman" w:cs="Times New Roman"/>
          <w:i/>
          <w:color w:val="808080" w:themeColor="background1" w:themeShade="80"/>
        </w:rPr>
        <w:t xml:space="preserve"> which also manage AIFs</w:t>
      </w:r>
      <w:r w:rsidRPr="007D47D0">
        <w:rPr>
          <w:rFonts w:ascii="Times New Roman" w:hAnsi="Times New Roman" w:cs="Times New Roman"/>
          <w:i/>
          <w:color w:val="808080" w:themeColor="background1" w:themeShade="80"/>
        </w:rPr>
        <w:t xml:space="preserve">).  </w:t>
      </w:r>
      <w:r w:rsidRPr="00576205">
        <w:rPr>
          <w:rFonts w:ascii="Times New Roman" w:hAnsi="Times New Roman" w:cs="Times New Roman"/>
          <w:i/>
          <w:color w:val="808080" w:themeColor="background1" w:themeShade="80"/>
        </w:rPr>
        <w:t>In accordance with Article 9(10), with the exception of paragraphs 7 and 8 and of the Delegated Regulation adopted pursuant to paragraph 9, Article 9 of the Directive shall not apply to AIFMs which are also UCITS Management Companies.</w:t>
      </w:r>
    </w:p>
    <w:p w:rsidR="00FC399C" w:rsidRDefault="00FC399C" w:rsidP="00072AAC">
      <w:pPr>
        <w:pStyle w:val="ListParagraph"/>
        <w:numPr>
          <w:ilvl w:val="1"/>
          <w:numId w:val="11"/>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Specify how the AIFM covers potential liability risks caused through the negligent performance of activities for which an AIFM has legal responsibility: </w:t>
      </w:r>
    </w:p>
    <w:p w:rsidR="00FC399C" w:rsidRDefault="00FC399C" w:rsidP="00FC399C">
      <w:pPr>
        <w:pStyle w:val="ListParagraph"/>
        <w:spacing w:after="0" w:line="240" w:lineRule="auto"/>
        <w:ind w:left="567"/>
        <w:jc w:val="both"/>
        <w:rPr>
          <w:rFonts w:ascii="Times New Roman" w:hAnsi="Times New Roman" w:cs="Times New Roman"/>
          <w:sz w:val="24"/>
          <w:szCs w:val="24"/>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5"/>
      </w:tblGrid>
      <w:tr w:rsidR="00FC399C" w:rsidRPr="00FC399C" w:rsidTr="00FC399C">
        <w:trPr>
          <w:trHeight w:val="305"/>
          <w:jc w:val="center"/>
        </w:trPr>
        <w:tc>
          <w:tcPr>
            <w:tcW w:w="8595" w:type="dxa"/>
          </w:tcPr>
          <w:p w:rsidR="00FC399C" w:rsidRPr="00FC399C" w:rsidRDefault="00FC399C" w:rsidP="00554DD9">
            <w:pPr>
              <w:tabs>
                <w:tab w:val="center" w:pos="4175"/>
              </w:tabs>
              <w:jc w:val="both"/>
              <w:rPr>
                <w:rFonts w:ascii="Times New Roman" w:eastAsia="Times New Roman" w:hAnsi="Times New Roman" w:cs="Times New Roman"/>
                <w:sz w:val="18"/>
                <w:szCs w:val="18"/>
                <w:lang w:eastAsia="en-GB"/>
              </w:rPr>
            </w:pPr>
            <w:r w:rsidRPr="00FC399C">
              <w:rPr>
                <w:rFonts w:ascii="Times New Roman" w:hAnsi="Times New Roman" w:cs="Times New Roman"/>
                <w:sz w:val="24"/>
                <w:szCs w:val="24"/>
              </w:rPr>
              <w:t xml:space="preserve">       Increased own funds   </w:t>
            </w:r>
            <w:sdt>
              <w:sdtPr>
                <w:rPr>
                  <w:rFonts w:ascii="Times New Roman" w:hAnsi="Times New Roman" w:cs="Times New Roman"/>
                  <w:sz w:val="24"/>
                  <w:szCs w:val="24"/>
                </w:rPr>
                <w:id w:val="-2072189289"/>
                <w14:checkbox>
                  <w14:checked w14:val="0"/>
                  <w14:checkedState w14:val="2612" w14:font="MS Gothic"/>
                  <w14:uncheckedState w14:val="2610" w14:font="MS Gothic"/>
                </w14:checkbox>
              </w:sdtPr>
              <w:sdtEndPr/>
              <w:sdtContent>
                <w:r w:rsidR="00C05CF7">
                  <w:rPr>
                    <w:rFonts w:ascii="MS Gothic" w:eastAsia="MS Gothic" w:hAnsi="MS Gothic" w:cs="Times New Roman" w:hint="eastAsia"/>
                    <w:sz w:val="24"/>
                    <w:szCs w:val="24"/>
                  </w:rPr>
                  <w:t>☐</w:t>
                </w:r>
              </w:sdtContent>
            </w:sdt>
            <w:r w:rsidRPr="00FC399C">
              <w:rPr>
                <w:rFonts w:ascii="Times New Roman" w:hAnsi="Times New Roman" w:cs="Times New Roman"/>
                <w:sz w:val="24"/>
                <w:szCs w:val="24"/>
              </w:rPr>
              <w:t xml:space="preserve"> </w:t>
            </w:r>
            <w:r w:rsidRPr="00FC399C">
              <w:rPr>
                <w:rFonts w:ascii="Times New Roman" w:hAnsi="Times New Roman" w:cs="Times New Roman"/>
                <w:sz w:val="24"/>
                <w:szCs w:val="24"/>
              </w:rPr>
              <w:tab/>
              <w:t xml:space="preserve">          </w:t>
            </w:r>
            <w:r w:rsidRPr="00FC399C">
              <w:rPr>
                <w:rFonts w:ascii="Times New Roman" w:hAnsi="Times New Roman" w:cs="Times New Roman"/>
                <w:i/>
                <w:sz w:val="24"/>
                <w:szCs w:val="24"/>
              </w:rPr>
              <w:t>Or</w:t>
            </w:r>
            <w:r w:rsidRPr="00FC399C">
              <w:rPr>
                <w:rFonts w:ascii="Times New Roman" w:hAnsi="Times New Roman" w:cs="Times New Roman"/>
                <w:sz w:val="24"/>
                <w:szCs w:val="24"/>
              </w:rPr>
              <w:t xml:space="preserve">        Professional Indemnity Insurance </w:t>
            </w:r>
            <w:sdt>
              <w:sdtPr>
                <w:rPr>
                  <w:rFonts w:ascii="Times New Roman" w:hAnsi="Times New Roman" w:cs="Times New Roman"/>
                  <w:sz w:val="24"/>
                  <w:szCs w:val="24"/>
                </w:rPr>
                <w:id w:val="-1517694173"/>
                <w14:checkbox>
                  <w14:checked w14:val="0"/>
                  <w14:checkedState w14:val="2612" w14:font="MS Gothic"/>
                  <w14:uncheckedState w14:val="2610" w14:font="MS Gothic"/>
                </w14:checkbox>
              </w:sdtPr>
              <w:sdtEndPr/>
              <w:sdtContent>
                <w:r w:rsidRPr="00FC399C">
                  <w:rPr>
                    <w:rFonts w:ascii="MS Gothic" w:eastAsia="MS Gothic" w:hAnsi="MS Gothic" w:cs="Times New Roman" w:hint="eastAsia"/>
                    <w:sz w:val="24"/>
                    <w:szCs w:val="24"/>
                  </w:rPr>
                  <w:t>☐</w:t>
                </w:r>
              </w:sdtContent>
            </w:sdt>
          </w:p>
        </w:tc>
      </w:tr>
    </w:tbl>
    <w:p w:rsidR="00FC399C" w:rsidRDefault="00FC399C" w:rsidP="00FC399C">
      <w:pPr>
        <w:pStyle w:val="ListParagraph"/>
        <w:spacing w:after="0" w:line="240" w:lineRule="auto"/>
        <w:ind w:left="786"/>
        <w:jc w:val="both"/>
        <w:rPr>
          <w:rFonts w:ascii="Times New Roman" w:hAnsi="Times New Roman" w:cs="Times New Roman"/>
          <w:sz w:val="24"/>
          <w:szCs w:val="24"/>
        </w:rPr>
      </w:pPr>
    </w:p>
    <w:p w:rsidR="007F7D5A" w:rsidRPr="00344DBE" w:rsidRDefault="00344DBE" w:rsidP="00072AAC">
      <w:pPr>
        <w:pStyle w:val="ListParagraph"/>
        <w:numPr>
          <w:ilvl w:val="1"/>
          <w:numId w:val="11"/>
        </w:numPr>
        <w:spacing w:after="0" w:line="240" w:lineRule="auto"/>
        <w:ind w:left="567" w:hanging="425"/>
        <w:jc w:val="both"/>
        <w:rPr>
          <w:rFonts w:ascii="Times New Roman" w:hAnsi="Times New Roman" w:cs="Times New Roman"/>
          <w:color w:val="000000" w:themeColor="text1"/>
        </w:rPr>
      </w:pPr>
      <w:r>
        <w:rPr>
          <w:rFonts w:ascii="Times New Roman" w:hAnsi="Times New Roman" w:cs="Times New Roman"/>
          <w:sz w:val="24"/>
          <w:szCs w:val="24"/>
        </w:rPr>
        <w:t xml:space="preserve">(a) </w:t>
      </w:r>
      <w:r w:rsidR="00FC399C" w:rsidRPr="00344DBE">
        <w:rPr>
          <w:rFonts w:ascii="Times New Roman" w:hAnsi="Times New Roman" w:cs="Times New Roman"/>
          <w:sz w:val="24"/>
          <w:szCs w:val="24"/>
        </w:rPr>
        <w:t>I</w:t>
      </w:r>
      <w:r w:rsidR="009A2912">
        <w:rPr>
          <w:rFonts w:ascii="Times New Roman" w:hAnsi="Times New Roman" w:cs="Times New Roman"/>
          <w:sz w:val="24"/>
          <w:szCs w:val="24"/>
        </w:rPr>
        <w:t>n case of</w:t>
      </w:r>
      <w:r w:rsidR="00FC399C" w:rsidRPr="00344DBE">
        <w:rPr>
          <w:rFonts w:ascii="Times New Roman" w:hAnsi="Times New Roman" w:cs="Times New Roman"/>
          <w:sz w:val="24"/>
          <w:szCs w:val="24"/>
        </w:rPr>
        <w:t xml:space="preserve"> additional own funds, specify the </w:t>
      </w:r>
      <w:r>
        <w:rPr>
          <w:rFonts w:ascii="Times New Roman" w:hAnsi="Times New Roman" w:cs="Times New Roman"/>
          <w:sz w:val="24"/>
          <w:szCs w:val="24"/>
        </w:rPr>
        <w:t>level of increased own funds including the</w:t>
      </w:r>
      <w:r w:rsidR="00FC399C" w:rsidRPr="00344DBE">
        <w:rPr>
          <w:rFonts w:ascii="Times New Roman" w:hAnsi="Times New Roman" w:cs="Times New Roman"/>
          <w:sz w:val="24"/>
          <w:szCs w:val="24"/>
        </w:rPr>
        <w:t xml:space="preserve"> % </w:t>
      </w:r>
      <w:r>
        <w:rPr>
          <w:rFonts w:ascii="Times New Roman" w:hAnsi="Times New Roman" w:cs="Times New Roman"/>
          <w:sz w:val="24"/>
          <w:szCs w:val="24"/>
        </w:rPr>
        <w:t xml:space="preserve">that this </w:t>
      </w:r>
      <w:r w:rsidR="009A2912">
        <w:rPr>
          <w:rFonts w:ascii="Times New Roman" w:hAnsi="Times New Roman" w:cs="Times New Roman"/>
          <w:sz w:val="24"/>
          <w:szCs w:val="24"/>
        </w:rPr>
        <w:t xml:space="preserve">comprises </w:t>
      </w:r>
      <w:r w:rsidR="00FC399C" w:rsidRPr="00344DBE">
        <w:rPr>
          <w:rFonts w:ascii="Times New Roman" w:hAnsi="Times New Roman" w:cs="Times New Roman"/>
          <w:sz w:val="24"/>
          <w:szCs w:val="24"/>
        </w:rPr>
        <w:t xml:space="preserve">of the value of the portfolios </w:t>
      </w:r>
      <w:r w:rsidR="000F12ED">
        <w:rPr>
          <w:rFonts w:ascii="Times New Roman" w:hAnsi="Times New Roman" w:cs="Times New Roman"/>
          <w:sz w:val="24"/>
          <w:szCs w:val="24"/>
        </w:rPr>
        <w:t xml:space="preserve">of AIFs </w:t>
      </w:r>
      <w:r w:rsidR="00FC399C" w:rsidRPr="00344DBE">
        <w:rPr>
          <w:rFonts w:ascii="Times New Roman" w:hAnsi="Times New Roman" w:cs="Times New Roman"/>
          <w:sz w:val="24"/>
          <w:szCs w:val="24"/>
        </w:rPr>
        <w:t>managed</w:t>
      </w:r>
      <w:r w:rsidR="009A2912">
        <w:rPr>
          <w:rFonts w:ascii="Times New Roman" w:hAnsi="Times New Roman" w:cs="Times New Roman"/>
          <w:sz w:val="24"/>
          <w:szCs w:val="24"/>
        </w:rPr>
        <w:t xml:space="preserve"> – the minimum provision</w:t>
      </w:r>
      <w:r w:rsidR="00FC399C" w:rsidRPr="00344DBE">
        <w:rPr>
          <w:rFonts w:ascii="Times New Roman" w:hAnsi="Times New Roman" w:cs="Times New Roman"/>
          <w:sz w:val="24"/>
          <w:szCs w:val="24"/>
        </w:rPr>
        <w:t xml:space="preserve"> should at least </w:t>
      </w:r>
      <w:r w:rsidR="009A2912" w:rsidRPr="00344DBE">
        <w:rPr>
          <w:rFonts w:ascii="Times New Roman" w:hAnsi="Times New Roman" w:cs="Times New Roman"/>
          <w:sz w:val="24"/>
          <w:szCs w:val="24"/>
        </w:rPr>
        <w:t xml:space="preserve">be </w:t>
      </w:r>
      <w:r w:rsidR="00FC399C" w:rsidRPr="00344DBE">
        <w:rPr>
          <w:rFonts w:ascii="Times New Roman" w:hAnsi="Times New Roman" w:cs="Times New Roman"/>
          <w:sz w:val="24"/>
          <w:szCs w:val="24"/>
        </w:rPr>
        <w:t xml:space="preserve">equal to 0.01% of the value of the portfolios of </w:t>
      </w:r>
      <w:r w:rsidR="00FC399C" w:rsidRPr="00B231F4">
        <w:rPr>
          <w:rFonts w:ascii="Times New Roman" w:hAnsi="Times New Roman" w:cs="Times New Roman"/>
          <w:sz w:val="24"/>
          <w:szCs w:val="24"/>
        </w:rPr>
        <w:t>AIFs managed</w:t>
      </w:r>
      <w:r w:rsidR="00CB1CE4" w:rsidRPr="00B3631C">
        <w:rPr>
          <w:rFonts w:ascii="Times New Roman" w:hAnsi="Times New Roman" w:cs="Times New Roman"/>
          <w:sz w:val="24"/>
          <w:szCs w:val="24"/>
        </w:rPr>
        <w:t>.</w:t>
      </w:r>
      <w:r w:rsidR="00B231F4">
        <w:rPr>
          <w:rFonts w:ascii="Times New Roman" w:hAnsi="Times New Roman" w:cs="Times New Roman"/>
          <w:sz w:val="24"/>
          <w:szCs w:val="24"/>
        </w:rPr>
        <w:t xml:space="preserve"> </w:t>
      </w:r>
    </w:p>
    <w:p w:rsidR="00FC399C" w:rsidRPr="00FC399C" w:rsidRDefault="00FC399C" w:rsidP="00FC399C">
      <w:pPr>
        <w:pStyle w:val="ListParagraph"/>
        <w:spacing w:after="0" w:line="240" w:lineRule="auto"/>
        <w:ind w:left="567"/>
        <w:jc w:val="both"/>
        <w:rPr>
          <w:rFonts w:ascii="Times New Roman" w:hAnsi="Times New Roman" w:cs="Times New Roman"/>
          <w:color w:val="000000" w:themeColor="text1"/>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FC399C" w:rsidRPr="00C01DA9" w:rsidTr="00AE252A">
        <w:trPr>
          <w:trHeight w:hRule="exact" w:val="25"/>
        </w:trPr>
        <w:tc>
          <w:tcPr>
            <w:tcW w:w="8789" w:type="dxa"/>
            <w:vMerge w:val="restart"/>
            <w:shd w:val="clear" w:color="000000" w:fill="FFFF00"/>
            <w:hideMark/>
          </w:tcPr>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p>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r w:rsidR="00FC399C" w:rsidRPr="00C01DA9" w:rsidTr="00AE252A">
        <w:trPr>
          <w:trHeight w:val="311"/>
        </w:trPr>
        <w:tc>
          <w:tcPr>
            <w:tcW w:w="8789" w:type="dxa"/>
            <w:vMerge/>
            <w:vAlign w:val="center"/>
            <w:hideMark/>
          </w:tcPr>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bl>
    <w:p w:rsidR="00FC399C" w:rsidRPr="00FC399C" w:rsidRDefault="00FC399C" w:rsidP="00FC399C">
      <w:pPr>
        <w:spacing w:line="240" w:lineRule="auto"/>
        <w:rPr>
          <w:rFonts w:ascii="Times New Roman" w:hAnsi="Times New Roman" w:cs="Times New Roman"/>
          <w:color w:val="000000" w:themeColor="text1"/>
          <w:sz w:val="24"/>
          <w:szCs w:val="24"/>
        </w:rPr>
      </w:pPr>
    </w:p>
    <w:p w:rsidR="00FC399C" w:rsidRPr="00B3631C" w:rsidRDefault="00FC399C" w:rsidP="00B3631C">
      <w:pPr>
        <w:pStyle w:val="ListParagraph"/>
        <w:numPr>
          <w:ilvl w:val="0"/>
          <w:numId w:val="52"/>
        </w:numPr>
        <w:spacing w:after="0" w:line="240" w:lineRule="auto"/>
        <w:jc w:val="both"/>
        <w:rPr>
          <w:rFonts w:ascii="Times New Roman" w:hAnsi="Times New Roman" w:cs="Times New Roman"/>
          <w:sz w:val="24"/>
          <w:szCs w:val="24"/>
        </w:rPr>
      </w:pPr>
      <w:r w:rsidRPr="00B3631C">
        <w:rPr>
          <w:rFonts w:ascii="Times New Roman" w:hAnsi="Times New Roman" w:cs="Times New Roman"/>
          <w:sz w:val="24"/>
          <w:szCs w:val="24"/>
        </w:rPr>
        <w:t xml:space="preserve">Specify the types of assets in which the own funds are invested.  </w:t>
      </w:r>
      <w:r w:rsidR="00F139A8" w:rsidRPr="00B3631C">
        <w:rPr>
          <w:rFonts w:ascii="Times New Roman" w:hAnsi="Times New Roman" w:cs="Times New Roman"/>
          <w:sz w:val="24"/>
          <w:szCs w:val="24"/>
        </w:rPr>
        <w:t xml:space="preserve">Article 9(8) requires </w:t>
      </w:r>
      <w:r w:rsidR="002D3DD1">
        <w:rPr>
          <w:rFonts w:ascii="Times New Roman" w:hAnsi="Times New Roman" w:cs="Times New Roman"/>
          <w:sz w:val="24"/>
          <w:szCs w:val="24"/>
        </w:rPr>
        <w:t xml:space="preserve">the </w:t>
      </w:r>
      <w:r w:rsidR="00F139A8" w:rsidRPr="00B3631C">
        <w:rPr>
          <w:rFonts w:ascii="Times New Roman" w:hAnsi="Times New Roman" w:cs="Times New Roman"/>
          <w:sz w:val="24"/>
          <w:szCs w:val="24"/>
        </w:rPr>
        <w:t xml:space="preserve">own funds of </w:t>
      </w:r>
      <w:r w:rsidR="002D3DD1">
        <w:rPr>
          <w:rFonts w:ascii="Times New Roman" w:hAnsi="Times New Roman" w:cs="Times New Roman"/>
          <w:sz w:val="24"/>
          <w:szCs w:val="24"/>
        </w:rPr>
        <w:t xml:space="preserve">an </w:t>
      </w:r>
      <w:r w:rsidR="00F139A8" w:rsidRPr="00B3631C">
        <w:rPr>
          <w:rFonts w:ascii="Times New Roman" w:hAnsi="Times New Roman" w:cs="Times New Roman"/>
          <w:sz w:val="24"/>
          <w:szCs w:val="24"/>
        </w:rPr>
        <w:t>AIFM, including additional own funds</w:t>
      </w:r>
      <w:r w:rsidR="002D3DD1">
        <w:rPr>
          <w:rFonts w:ascii="Times New Roman" w:hAnsi="Times New Roman" w:cs="Times New Roman"/>
          <w:sz w:val="24"/>
          <w:szCs w:val="24"/>
        </w:rPr>
        <w:t>,</w:t>
      </w:r>
      <w:r w:rsidR="00F139A8" w:rsidRPr="00B3631C">
        <w:rPr>
          <w:rFonts w:ascii="Times New Roman" w:hAnsi="Times New Roman" w:cs="Times New Roman"/>
          <w:sz w:val="24"/>
          <w:szCs w:val="24"/>
        </w:rPr>
        <w:t xml:space="preserve"> </w:t>
      </w:r>
      <w:r w:rsidR="00B231F4">
        <w:rPr>
          <w:rFonts w:ascii="Times New Roman" w:hAnsi="Times New Roman" w:cs="Times New Roman"/>
          <w:sz w:val="24"/>
          <w:szCs w:val="24"/>
        </w:rPr>
        <w:t>to</w:t>
      </w:r>
      <w:r w:rsidR="00F139A8" w:rsidRPr="00B3631C">
        <w:rPr>
          <w:rFonts w:ascii="Times New Roman" w:hAnsi="Times New Roman" w:cs="Times New Roman"/>
          <w:sz w:val="24"/>
          <w:szCs w:val="24"/>
        </w:rPr>
        <w:t xml:space="preserve"> be invested </w:t>
      </w:r>
      <w:r w:rsidRPr="00B3631C">
        <w:rPr>
          <w:rFonts w:ascii="Times New Roman" w:hAnsi="Times New Roman" w:cs="Times New Roman"/>
          <w:sz w:val="24"/>
          <w:szCs w:val="24"/>
        </w:rPr>
        <w:t>in liquid assets or assets readily convertible to cash in the short term and not speculative positions</w:t>
      </w:r>
      <w:r w:rsidR="00B231F4">
        <w:rPr>
          <w:rFonts w:ascii="Times New Roman" w:hAnsi="Times New Roman" w:cs="Times New Roman"/>
          <w:sz w:val="24"/>
          <w:szCs w:val="24"/>
        </w:rPr>
        <w:t>.</w:t>
      </w:r>
      <w:r w:rsidRPr="00B3631C">
        <w:rPr>
          <w:rFonts w:ascii="Times New Roman" w:hAnsi="Times New Roman" w:cs="Times New Roman"/>
          <w:sz w:val="24"/>
          <w:szCs w:val="24"/>
        </w:rPr>
        <w:t xml:space="preserve"> </w:t>
      </w:r>
    </w:p>
    <w:p w:rsidR="00FC399C" w:rsidRPr="00FC399C" w:rsidRDefault="00FC399C" w:rsidP="00FC399C">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FC399C" w:rsidRPr="00C01DA9" w:rsidTr="00AE252A">
        <w:trPr>
          <w:trHeight w:val="207"/>
        </w:trPr>
        <w:tc>
          <w:tcPr>
            <w:tcW w:w="8789" w:type="dxa"/>
            <w:vMerge w:val="restart"/>
            <w:shd w:val="clear" w:color="000000" w:fill="FFFF00"/>
            <w:hideMark/>
          </w:tcPr>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FC399C" w:rsidRPr="00C01DA9" w:rsidTr="00AE252A">
        <w:trPr>
          <w:trHeight w:val="311"/>
        </w:trPr>
        <w:tc>
          <w:tcPr>
            <w:tcW w:w="8789" w:type="dxa"/>
            <w:vMerge/>
            <w:vAlign w:val="center"/>
            <w:hideMark/>
          </w:tcPr>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bl>
    <w:p w:rsidR="005C549C" w:rsidRPr="005C549C" w:rsidRDefault="005C549C" w:rsidP="005C549C">
      <w:pPr>
        <w:pStyle w:val="ListParagraph"/>
        <w:spacing w:after="0" w:line="240" w:lineRule="auto"/>
        <w:ind w:left="567"/>
        <w:jc w:val="both"/>
        <w:rPr>
          <w:rFonts w:ascii="Times New Roman" w:hAnsi="Times New Roman" w:cs="Times New Roman"/>
          <w:color w:val="000000" w:themeColor="text1"/>
        </w:rPr>
      </w:pPr>
    </w:p>
    <w:p w:rsidR="00FC399C" w:rsidRPr="00FE6778" w:rsidRDefault="00FC399C" w:rsidP="00072AAC">
      <w:pPr>
        <w:pStyle w:val="ListParagraph"/>
        <w:numPr>
          <w:ilvl w:val="1"/>
          <w:numId w:val="11"/>
        </w:numPr>
        <w:spacing w:after="0" w:line="240" w:lineRule="auto"/>
        <w:ind w:left="567" w:hanging="425"/>
        <w:jc w:val="both"/>
        <w:rPr>
          <w:rFonts w:ascii="Times New Roman" w:hAnsi="Times New Roman" w:cs="Times New Roman"/>
          <w:color w:val="000000" w:themeColor="text1"/>
        </w:rPr>
      </w:pPr>
      <w:r w:rsidRPr="00FC399C">
        <w:rPr>
          <w:rFonts w:ascii="Times New Roman" w:hAnsi="Times New Roman" w:cs="Times New Roman"/>
          <w:sz w:val="24"/>
          <w:szCs w:val="24"/>
        </w:rPr>
        <w:t>I</w:t>
      </w:r>
      <w:r w:rsidR="00B231F4">
        <w:rPr>
          <w:rFonts w:ascii="Times New Roman" w:hAnsi="Times New Roman" w:cs="Times New Roman"/>
          <w:sz w:val="24"/>
          <w:szCs w:val="24"/>
        </w:rPr>
        <w:t>n</w:t>
      </w:r>
      <w:r w:rsidRPr="00FC399C">
        <w:rPr>
          <w:rFonts w:ascii="Times New Roman" w:hAnsi="Times New Roman" w:cs="Times New Roman"/>
          <w:sz w:val="24"/>
          <w:szCs w:val="24"/>
        </w:rPr>
        <w:t xml:space="preserve"> </w:t>
      </w:r>
      <w:r w:rsidR="00B231F4">
        <w:rPr>
          <w:rFonts w:ascii="Times New Roman" w:hAnsi="Times New Roman" w:cs="Times New Roman"/>
          <w:sz w:val="24"/>
          <w:szCs w:val="24"/>
        </w:rPr>
        <w:t>case</w:t>
      </w:r>
      <w:r w:rsidRPr="00FC399C">
        <w:rPr>
          <w:rFonts w:ascii="Times New Roman" w:hAnsi="Times New Roman" w:cs="Times New Roman"/>
          <w:sz w:val="24"/>
          <w:szCs w:val="24"/>
        </w:rPr>
        <w:t xml:space="preserve"> of a Professional Indemnity Insurance, provide a copy of the</w:t>
      </w:r>
      <w:r w:rsidR="007C57C8">
        <w:rPr>
          <w:rFonts w:ascii="Times New Roman" w:hAnsi="Times New Roman" w:cs="Times New Roman"/>
          <w:sz w:val="24"/>
          <w:szCs w:val="24"/>
        </w:rPr>
        <w:t xml:space="preserve"> most recent renewal cover</w:t>
      </w:r>
      <w:r w:rsidR="001F6622">
        <w:rPr>
          <w:rFonts w:ascii="Times New Roman" w:hAnsi="Times New Roman" w:cs="Times New Roman"/>
          <w:sz w:val="24"/>
          <w:szCs w:val="24"/>
        </w:rPr>
        <w:t>. This must</w:t>
      </w:r>
      <w:r w:rsidRPr="00FC399C">
        <w:rPr>
          <w:rFonts w:ascii="Times New Roman" w:hAnsi="Times New Roman" w:cs="Times New Roman"/>
          <w:sz w:val="24"/>
          <w:szCs w:val="24"/>
        </w:rPr>
        <w:t xml:space="preserve"> be in accordance </w:t>
      </w:r>
      <w:r w:rsidR="00B231F4">
        <w:rPr>
          <w:rFonts w:ascii="Times New Roman" w:hAnsi="Times New Roman" w:cs="Times New Roman"/>
          <w:sz w:val="24"/>
          <w:szCs w:val="24"/>
        </w:rPr>
        <w:t>with</w:t>
      </w:r>
      <w:r w:rsidRPr="00FC399C">
        <w:rPr>
          <w:rFonts w:ascii="Times New Roman" w:hAnsi="Times New Roman" w:cs="Times New Roman"/>
          <w:sz w:val="24"/>
          <w:szCs w:val="24"/>
        </w:rPr>
        <w:t xml:space="preserve"> Article 15 of Section 3 of Chapter II of the </w:t>
      </w:r>
      <w:r w:rsidR="00BF7C7E">
        <w:rPr>
          <w:rFonts w:ascii="Times New Roman" w:hAnsi="Times New Roman" w:cs="Times New Roman"/>
          <w:sz w:val="24"/>
          <w:szCs w:val="24"/>
        </w:rPr>
        <w:t xml:space="preserve">Commission </w:t>
      </w:r>
      <w:r w:rsidRPr="00FC399C">
        <w:rPr>
          <w:rFonts w:ascii="Times New Roman" w:hAnsi="Times New Roman" w:cs="Times New Roman"/>
          <w:sz w:val="24"/>
          <w:szCs w:val="24"/>
        </w:rPr>
        <w:t>Delegated Regulation</w:t>
      </w:r>
      <w:r w:rsidR="00B231F4">
        <w:rPr>
          <w:rFonts w:ascii="Times New Roman" w:hAnsi="Times New Roman" w:cs="Times New Roman"/>
          <w:sz w:val="24"/>
          <w:szCs w:val="24"/>
        </w:rPr>
        <w:t>.</w:t>
      </w:r>
    </w:p>
    <w:p w:rsidR="00FE6778" w:rsidRDefault="00FE6778" w:rsidP="00FE6778">
      <w:pPr>
        <w:pStyle w:val="ListParagraph"/>
        <w:spacing w:after="0" w:line="240" w:lineRule="auto"/>
        <w:ind w:left="567"/>
        <w:jc w:val="both"/>
        <w:rPr>
          <w:rFonts w:ascii="Times New Roman" w:hAnsi="Times New Roman" w:cs="Times New Roman"/>
          <w:sz w:val="24"/>
          <w:szCs w:val="24"/>
        </w:rPr>
      </w:pPr>
    </w:p>
    <w:p w:rsidR="00FE6778" w:rsidRDefault="00FE6778" w:rsidP="00FE6778">
      <w:pPr>
        <w:pStyle w:val="ListParagraph"/>
        <w:spacing w:after="0" w:line="240" w:lineRule="auto"/>
        <w:ind w:left="567"/>
        <w:jc w:val="both"/>
        <w:rPr>
          <w:rFonts w:ascii="Times New Roman" w:hAnsi="Times New Roman" w:cs="Times New Roman"/>
          <w:color w:val="000000" w:themeColor="text1"/>
        </w:rPr>
      </w:pPr>
    </w:p>
    <w:p w:rsidR="007B319D" w:rsidRDefault="007B319D">
      <w:pPr>
        <w:rPr>
          <w:rFonts w:ascii="Times New Roman" w:hAnsi="Times New Roman" w:cs="Times New Roman"/>
          <w:b/>
          <w:bCs/>
          <w:sz w:val="26"/>
          <w:szCs w:val="26"/>
        </w:rPr>
      </w:pPr>
      <w:r>
        <w:rPr>
          <w:rFonts w:ascii="Times New Roman" w:hAnsi="Times New Roman" w:cs="Times New Roman"/>
          <w:b/>
          <w:bCs/>
          <w:sz w:val="26"/>
          <w:szCs w:val="26"/>
        </w:rPr>
        <w:br w:type="page"/>
      </w:r>
    </w:p>
    <w:p w:rsidR="00FC399C" w:rsidRDefault="00FC399C" w:rsidP="00FC399C">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5</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Remuneration </w:t>
      </w:r>
      <w:r w:rsidR="00525E2E">
        <w:rPr>
          <w:rFonts w:ascii="Times New Roman" w:hAnsi="Times New Roman" w:cs="Times New Roman"/>
          <w:b/>
          <w:bCs/>
          <w:sz w:val="26"/>
          <w:szCs w:val="26"/>
        </w:rPr>
        <w:t>Policies</w:t>
      </w:r>
    </w:p>
    <w:p w:rsidR="003E3A1C" w:rsidRPr="00FE6778" w:rsidRDefault="00FC399C" w:rsidP="000A4109">
      <w:pPr>
        <w:autoSpaceDE w:val="0"/>
        <w:autoSpaceDN w:val="0"/>
        <w:adjustRightInd w:val="0"/>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deals with remuneration</w:t>
      </w:r>
      <w:r w:rsidR="00525E2E" w:rsidRPr="00FE6778">
        <w:rPr>
          <w:rFonts w:ascii="Times New Roman" w:hAnsi="Times New Roman" w:cs="Times New Roman"/>
          <w:i/>
          <w:color w:val="808080" w:themeColor="background1" w:themeShade="80"/>
        </w:rPr>
        <w:t xml:space="preserve"> policies</w:t>
      </w:r>
      <w:r w:rsidRPr="00FE6778">
        <w:rPr>
          <w:rFonts w:ascii="Times New Roman" w:hAnsi="Times New Roman" w:cs="Times New Roman"/>
          <w:i/>
          <w:color w:val="808080" w:themeColor="background1" w:themeShade="80"/>
        </w:rPr>
        <w:t xml:space="preserve"> in accordance with Article 13 of the Directive</w:t>
      </w:r>
      <w:r w:rsidR="00525E2E" w:rsidRPr="00FE6778">
        <w:rPr>
          <w:rFonts w:ascii="Times New Roman" w:hAnsi="Times New Roman" w:cs="Times New Roman"/>
          <w:i/>
          <w:color w:val="808080" w:themeColor="background1" w:themeShade="80"/>
        </w:rPr>
        <w:t xml:space="preserve"> which requires </w:t>
      </w:r>
      <w:r w:rsidRPr="00FE6778">
        <w:rPr>
          <w:rFonts w:ascii="Times New Roman" w:hAnsi="Times New Roman" w:cs="Times New Roman"/>
          <w:i/>
          <w:color w:val="808080" w:themeColor="background1" w:themeShade="80"/>
        </w:rPr>
        <w:t xml:space="preserve">AIFMs to “have remuneration policies and practices for those categories of staff, including senior management, risk takers, control functions, and any employees receiving total remuneration that takes them into the same remuneration bracket as senior management and risk takers, whose professional activities have a material impact on the risk profiles of the AIFMs or of the AIFs they manage”.  </w:t>
      </w:r>
    </w:p>
    <w:p w:rsidR="00FC399C" w:rsidRPr="00FE6778" w:rsidRDefault="00FC399C" w:rsidP="000A4109">
      <w:pPr>
        <w:autoSpaceDE w:val="0"/>
        <w:autoSpaceDN w:val="0"/>
        <w:adjustRightInd w:val="0"/>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Any such policies and practices must be determined in accordance with the principles set out in Annex II</w:t>
      </w:r>
      <w:r w:rsidR="00BF7C7E" w:rsidRPr="00FE6778">
        <w:rPr>
          <w:rFonts w:ascii="Times New Roman" w:hAnsi="Times New Roman" w:cs="Times New Roman"/>
          <w:i/>
          <w:color w:val="808080" w:themeColor="background1" w:themeShade="80"/>
        </w:rPr>
        <w:t xml:space="preserve"> of the Directive</w:t>
      </w:r>
      <w:r w:rsidR="00E63E7D" w:rsidRPr="00FE6778">
        <w:rPr>
          <w:rFonts w:ascii="Times New Roman" w:hAnsi="Times New Roman" w:cs="Times New Roman"/>
          <w:i/>
          <w:color w:val="808080" w:themeColor="background1" w:themeShade="80"/>
        </w:rPr>
        <w:t xml:space="preserve"> as well as those included in</w:t>
      </w:r>
      <w:r w:rsidR="00C84DA6">
        <w:rPr>
          <w:rFonts w:ascii="Times New Roman" w:hAnsi="Times New Roman" w:cs="Times New Roman"/>
          <w:i/>
          <w:color w:val="808080" w:themeColor="background1" w:themeShade="80"/>
        </w:rPr>
        <w:t xml:space="preserve"> the</w:t>
      </w:r>
      <w:r w:rsidR="00E63E7D" w:rsidRPr="00FE6778">
        <w:rPr>
          <w:rFonts w:ascii="Times New Roman" w:hAnsi="Times New Roman" w:cs="Times New Roman"/>
          <w:i/>
          <w:color w:val="808080" w:themeColor="background1" w:themeShade="80"/>
        </w:rPr>
        <w:t xml:space="preserve"> ESMA Guidelines (2013/201) on sound remuneration policies</w:t>
      </w:r>
      <w:r w:rsidRPr="00FE6778">
        <w:rPr>
          <w:rFonts w:ascii="Times New Roman" w:hAnsi="Times New Roman" w:cs="Times New Roman"/>
          <w:i/>
          <w:color w:val="808080" w:themeColor="background1" w:themeShade="80"/>
        </w:rPr>
        <w:t>.</w:t>
      </w:r>
      <w:r w:rsidR="00C96B6B" w:rsidRPr="00FE6778">
        <w:rPr>
          <w:rFonts w:ascii="Times New Roman" w:hAnsi="Times New Roman" w:cs="Times New Roman"/>
          <w:i/>
          <w:color w:val="808080" w:themeColor="background1" w:themeShade="80"/>
        </w:rPr>
        <w:t xml:space="preserve"> </w:t>
      </w:r>
    </w:p>
    <w:p w:rsidR="00FC408F" w:rsidRDefault="00FC408F" w:rsidP="00FC408F">
      <w:pPr>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Further to the questions included in this section, AIFMs should also provide a declaration outlining that they have in place a Remuneration Policy which is in line with the requirements stipulated in Annex II of the Directive </w:t>
      </w:r>
    </w:p>
    <w:p w:rsidR="00EC1F3D" w:rsidRDefault="00EC1F3D" w:rsidP="00EC1F3D">
      <w:pPr>
        <w:pStyle w:val="ListParagraph"/>
        <w:tabs>
          <w:tab w:val="left" w:pos="8789"/>
          <w:tab w:val="left" w:pos="9214"/>
        </w:tabs>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should be completed by internally managed AIFs and Fund Managers (including UCITS Management companies</w:t>
      </w:r>
      <w:r>
        <w:rPr>
          <w:rFonts w:ascii="Times New Roman" w:hAnsi="Times New Roman" w:cs="Times New Roman"/>
          <w:i/>
          <w:color w:val="808080" w:themeColor="background1" w:themeShade="80"/>
        </w:rPr>
        <w:t xml:space="preserve"> </w:t>
      </w:r>
      <w:r>
        <w:rPr>
          <w:rFonts w:ascii="Times New Roman" w:eastAsiaTheme="majorEastAsia" w:hAnsi="Times New Roman" w:cs="Times New Roman"/>
          <w:bCs/>
          <w:i/>
          <w:color w:val="808080" w:themeColor="background1" w:themeShade="80"/>
        </w:rPr>
        <w:t>which also manage AIFs</w:t>
      </w:r>
      <w:r w:rsidRPr="00FE6778">
        <w:rPr>
          <w:rFonts w:ascii="Times New Roman" w:hAnsi="Times New Roman" w:cs="Times New Roman"/>
          <w:i/>
          <w:color w:val="808080" w:themeColor="background1" w:themeShade="80"/>
        </w:rPr>
        <w:t xml:space="preserve">). </w:t>
      </w:r>
    </w:p>
    <w:p w:rsidR="00EC1F3D" w:rsidRPr="00FE6778" w:rsidRDefault="00EC1F3D" w:rsidP="00EC1F3D">
      <w:pPr>
        <w:pStyle w:val="ListParagraph"/>
        <w:tabs>
          <w:tab w:val="left" w:pos="8789"/>
          <w:tab w:val="left" w:pos="9214"/>
        </w:tabs>
        <w:ind w:left="567"/>
        <w:jc w:val="both"/>
        <w:rPr>
          <w:rFonts w:ascii="Times New Roman" w:hAnsi="Times New Roman" w:cs="Times New Roman"/>
          <w:i/>
          <w:color w:val="808080" w:themeColor="background1" w:themeShade="80"/>
        </w:rPr>
      </w:pPr>
    </w:p>
    <w:p w:rsidR="00130FCA" w:rsidRPr="00130FCA" w:rsidRDefault="00EC1F3D" w:rsidP="00130FCA">
      <w:pPr>
        <w:pStyle w:val="ListParagraph"/>
        <w:numPr>
          <w:ilvl w:val="1"/>
          <w:numId w:val="12"/>
        </w:numPr>
        <w:spacing w:after="0" w:line="240" w:lineRule="auto"/>
        <w:ind w:left="567" w:hanging="567"/>
        <w:jc w:val="both"/>
        <w:rPr>
          <w:rFonts w:ascii="Times New Roman" w:hAnsi="Times New Roman" w:cs="Times New Roman"/>
          <w:color w:val="000000" w:themeColor="text1"/>
        </w:rPr>
      </w:pPr>
      <w:r>
        <w:rPr>
          <w:rFonts w:ascii="Times New Roman" w:hAnsi="Times New Roman"/>
          <w:sz w:val="24"/>
          <w:szCs w:val="24"/>
        </w:rPr>
        <w:t>T</w:t>
      </w:r>
      <w:r w:rsidR="00130FCA" w:rsidRPr="00130FCA">
        <w:rPr>
          <w:rFonts w:ascii="Times New Roman" w:hAnsi="Times New Roman"/>
          <w:sz w:val="24"/>
          <w:szCs w:val="24"/>
        </w:rPr>
        <w:t xml:space="preserve">he AIFM </w:t>
      </w:r>
      <w:r w:rsidR="00B231F4">
        <w:rPr>
          <w:rFonts w:ascii="Times New Roman" w:hAnsi="Times New Roman"/>
          <w:sz w:val="24"/>
          <w:szCs w:val="24"/>
        </w:rPr>
        <w:t xml:space="preserve">is required to </w:t>
      </w:r>
      <w:r w:rsidR="00130FCA" w:rsidRPr="00130FCA">
        <w:rPr>
          <w:rFonts w:ascii="Times New Roman" w:hAnsi="Times New Roman"/>
          <w:sz w:val="24"/>
          <w:szCs w:val="24"/>
        </w:rPr>
        <w:t>ha</w:t>
      </w:r>
      <w:r w:rsidR="00B231F4">
        <w:rPr>
          <w:rFonts w:ascii="Times New Roman" w:hAnsi="Times New Roman"/>
          <w:sz w:val="24"/>
          <w:szCs w:val="24"/>
        </w:rPr>
        <w:t>ve</w:t>
      </w:r>
      <w:r w:rsidR="00130FCA" w:rsidRPr="00130FCA">
        <w:rPr>
          <w:rFonts w:ascii="Times New Roman" w:hAnsi="Times New Roman"/>
          <w:sz w:val="24"/>
          <w:szCs w:val="24"/>
        </w:rPr>
        <w:t xml:space="preserve"> a formal remuneration policy in place which is in line with the principles set out in Annex II of the Directive</w:t>
      </w:r>
      <w:r w:rsidR="001E3988">
        <w:rPr>
          <w:rFonts w:ascii="Times New Roman" w:hAnsi="Times New Roman"/>
          <w:sz w:val="24"/>
          <w:szCs w:val="24"/>
        </w:rPr>
        <w:t xml:space="preserve"> and the </w:t>
      </w:r>
      <w:r w:rsidR="0036742E">
        <w:rPr>
          <w:rFonts w:ascii="Times New Roman" w:hAnsi="Times New Roman"/>
          <w:sz w:val="24"/>
          <w:szCs w:val="24"/>
        </w:rPr>
        <w:t>G</w:t>
      </w:r>
      <w:r w:rsidR="001E3988">
        <w:rPr>
          <w:rFonts w:ascii="Times New Roman" w:hAnsi="Times New Roman"/>
          <w:sz w:val="24"/>
          <w:szCs w:val="24"/>
        </w:rPr>
        <w:t>uidelines on sound remuneration policies issued by ESMA</w:t>
      </w:r>
      <w:r w:rsidR="00B231F4">
        <w:rPr>
          <w:rFonts w:ascii="Times New Roman" w:hAnsi="Times New Roman"/>
          <w:sz w:val="24"/>
          <w:szCs w:val="24"/>
        </w:rPr>
        <w:t>.</w:t>
      </w:r>
      <w:r w:rsidR="00130FCA" w:rsidRPr="00130FCA">
        <w:rPr>
          <w:rFonts w:ascii="Times New Roman" w:hAnsi="Times New Roman"/>
          <w:sz w:val="24"/>
          <w:szCs w:val="24"/>
        </w:rPr>
        <w:t xml:space="preserve"> </w:t>
      </w:r>
      <w:r w:rsidR="00B231F4">
        <w:rPr>
          <w:rFonts w:ascii="Times New Roman" w:hAnsi="Times New Roman"/>
          <w:sz w:val="24"/>
          <w:szCs w:val="24"/>
        </w:rPr>
        <w:t>A declaration should be provided to this effect by the AIFM.</w:t>
      </w:r>
      <w:r w:rsidR="00130FCA" w:rsidRPr="00130FCA">
        <w:rPr>
          <w:rFonts w:ascii="Times New Roman" w:hAnsi="Times New Roman"/>
          <w:sz w:val="24"/>
          <w:szCs w:val="24"/>
        </w:rPr>
        <w:t xml:space="preserve"> </w:t>
      </w:r>
    </w:p>
    <w:p w:rsidR="00130FCA" w:rsidRDefault="00130FCA" w:rsidP="00130FCA">
      <w:pPr>
        <w:pStyle w:val="ListParagraph"/>
        <w:spacing w:after="0" w:line="240" w:lineRule="auto"/>
        <w:ind w:left="567"/>
        <w:jc w:val="both"/>
        <w:rPr>
          <w:rFonts w:ascii="Times New Roman" w:hAnsi="Times New Roman"/>
          <w:sz w:val="24"/>
          <w:szCs w:val="24"/>
        </w:rPr>
      </w:pPr>
    </w:p>
    <w:p w:rsidR="00130FCA" w:rsidRPr="00526670" w:rsidRDefault="00B231F4" w:rsidP="00130FCA">
      <w:pPr>
        <w:pStyle w:val="ListParagraph"/>
        <w:spacing w:after="0" w:line="240" w:lineRule="auto"/>
        <w:ind w:left="540"/>
        <w:jc w:val="both"/>
        <w:rPr>
          <w:rFonts w:ascii="Times New Roman" w:hAnsi="Times New Roman"/>
          <w:color w:val="000000"/>
        </w:rPr>
      </w:pPr>
      <w:r>
        <w:rPr>
          <w:rFonts w:ascii="Times New Roman" w:hAnsi="Times New Roman"/>
          <w:sz w:val="24"/>
          <w:szCs w:val="24"/>
        </w:rPr>
        <w:t>At this stage, p</w:t>
      </w:r>
      <w:r w:rsidR="00130FCA">
        <w:rPr>
          <w:rFonts w:ascii="Times New Roman" w:hAnsi="Times New Roman"/>
          <w:sz w:val="24"/>
          <w:szCs w:val="24"/>
        </w:rPr>
        <w:t>lease provide the following</w:t>
      </w:r>
      <w:r>
        <w:rPr>
          <w:rFonts w:ascii="Times New Roman" w:hAnsi="Times New Roman"/>
          <w:sz w:val="24"/>
          <w:szCs w:val="24"/>
        </w:rPr>
        <w:t xml:space="preserve"> general details</w:t>
      </w:r>
      <w:r w:rsidR="00130FCA">
        <w:rPr>
          <w:rFonts w:ascii="Times New Roman" w:hAnsi="Times New Roman"/>
          <w:sz w:val="24"/>
          <w:szCs w:val="24"/>
        </w:rPr>
        <w:t>:-</w:t>
      </w:r>
    </w:p>
    <w:p w:rsidR="00130FCA" w:rsidRDefault="00130FCA" w:rsidP="00130FCA">
      <w:pPr>
        <w:pStyle w:val="ListParagraph"/>
        <w:spacing w:after="0" w:line="240" w:lineRule="auto"/>
        <w:ind w:left="0"/>
        <w:jc w:val="both"/>
        <w:rPr>
          <w:rFonts w:ascii="Times New Roman" w:hAnsi="Times New Roman"/>
          <w:color w:val="000000"/>
        </w:rPr>
      </w:pPr>
    </w:p>
    <w:p w:rsidR="00EC26AA" w:rsidRPr="00EC26AA" w:rsidRDefault="00EC26AA" w:rsidP="00EC26AA">
      <w:pPr>
        <w:spacing w:after="0" w:line="240" w:lineRule="auto"/>
        <w:ind w:firstLine="540"/>
        <w:jc w:val="both"/>
        <w:rPr>
          <w:rFonts w:ascii="Times New Roman" w:hAnsi="Times New Roman"/>
          <w:b/>
          <w:i/>
          <w:sz w:val="24"/>
          <w:szCs w:val="24"/>
          <w:u w:val="single"/>
        </w:rPr>
      </w:pPr>
      <w:r>
        <w:rPr>
          <w:rFonts w:ascii="Times New Roman" w:hAnsi="Times New Roman"/>
          <w:b/>
          <w:i/>
          <w:sz w:val="24"/>
          <w:szCs w:val="24"/>
          <w:u w:val="single"/>
        </w:rPr>
        <w:t xml:space="preserve">Identified Staff </w:t>
      </w:r>
    </w:p>
    <w:p w:rsidR="00EC26AA" w:rsidRPr="00526670" w:rsidRDefault="00EC26AA" w:rsidP="00130FCA">
      <w:pPr>
        <w:pStyle w:val="ListParagraph"/>
        <w:spacing w:after="0" w:line="240" w:lineRule="auto"/>
        <w:ind w:left="0"/>
        <w:jc w:val="both"/>
        <w:rPr>
          <w:rFonts w:ascii="Times New Roman" w:hAnsi="Times New Roman"/>
          <w:color w:val="000000"/>
        </w:rPr>
      </w:pPr>
    </w:p>
    <w:p w:rsidR="00130FCA" w:rsidRPr="000A4109" w:rsidRDefault="005C05CB" w:rsidP="00130FCA">
      <w:pPr>
        <w:pStyle w:val="ListParagraph"/>
        <w:numPr>
          <w:ilvl w:val="0"/>
          <w:numId w:val="15"/>
        </w:numPr>
        <w:spacing w:after="0" w:line="240" w:lineRule="auto"/>
        <w:jc w:val="both"/>
        <w:rPr>
          <w:rFonts w:ascii="Times New Roman" w:hAnsi="Times New Roman"/>
          <w:color w:val="000000"/>
        </w:rPr>
      </w:pPr>
      <w:r>
        <w:rPr>
          <w:rFonts w:ascii="Times New Roman" w:hAnsi="Times New Roman"/>
          <w:sz w:val="24"/>
          <w:szCs w:val="24"/>
        </w:rPr>
        <w:t>A</w:t>
      </w:r>
      <w:r w:rsidR="00130FCA">
        <w:rPr>
          <w:rFonts w:ascii="Times New Roman" w:hAnsi="Times New Roman"/>
          <w:sz w:val="24"/>
          <w:szCs w:val="24"/>
        </w:rPr>
        <w:t>n outline</w:t>
      </w:r>
      <w:r w:rsidR="00130FCA" w:rsidRPr="000A4109">
        <w:rPr>
          <w:rFonts w:ascii="Times New Roman" w:hAnsi="Times New Roman"/>
          <w:sz w:val="24"/>
          <w:szCs w:val="24"/>
        </w:rPr>
        <w:t xml:space="preserve"> </w:t>
      </w:r>
      <w:r w:rsidR="00130FCA">
        <w:rPr>
          <w:rFonts w:ascii="Times New Roman" w:hAnsi="Times New Roman"/>
          <w:sz w:val="24"/>
          <w:szCs w:val="24"/>
        </w:rPr>
        <w:t xml:space="preserve">of the ‘Identified Staff’ within the AIFM </w:t>
      </w:r>
      <w:r w:rsidR="00130FCA" w:rsidRPr="000A4109">
        <w:rPr>
          <w:rFonts w:ascii="Times New Roman" w:hAnsi="Times New Roman"/>
          <w:sz w:val="24"/>
          <w:szCs w:val="24"/>
        </w:rPr>
        <w:t xml:space="preserve">whose professional activities materially impact the risk profile of the AIFM or the AIF </w:t>
      </w:r>
      <w:r w:rsidR="0088685E">
        <w:rPr>
          <w:rFonts w:ascii="Times New Roman" w:hAnsi="Times New Roman"/>
          <w:sz w:val="24"/>
          <w:szCs w:val="24"/>
        </w:rPr>
        <w:t>it</w:t>
      </w:r>
      <w:r w:rsidR="00130FCA" w:rsidRPr="000A4109">
        <w:rPr>
          <w:rFonts w:ascii="Times New Roman" w:hAnsi="Times New Roman"/>
          <w:sz w:val="24"/>
          <w:szCs w:val="24"/>
        </w:rPr>
        <w:t xml:space="preserve"> manage</w:t>
      </w:r>
      <w:r w:rsidR="0088685E">
        <w:rPr>
          <w:rFonts w:ascii="Times New Roman" w:hAnsi="Times New Roman"/>
          <w:sz w:val="24"/>
          <w:szCs w:val="24"/>
        </w:rPr>
        <w:t>s</w:t>
      </w:r>
      <w:r w:rsidR="00130FCA">
        <w:rPr>
          <w:rFonts w:ascii="Times New Roman" w:hAnsi="Times New Roman"/>
          <w:sz w:val="24"/>
          <w:szCs w:val="24"/>
        </w:rPr>
        <w:t xml:space="preserve"> and </w:t>
      </w:r>
      <w:r>
        <w:rPr>
          <w:rFonts w:ascii="Times New Roman" w:hAnsi="Times New Roman"/>
          <w:sz w:val="24"/>
          <w:szCs w:val="24"/>
        </w:rPr>
        <w:t>a description as to</w:t>
      </w:r>
      <w:r w:rsidR="00130FCA">
        <w:rPr>
          <w:rFonts w:ascii="Times New Roman" w:hAnsi="Times New Roman"/>
          <w:sz w:val="24"/>
          <w:szCs w:val="24"/>
        </w:rPr>
        <w:t xml:space="preserve"> how ‘Identified Staff’ were assessed and selected</w:t>
      </w:r>
      <w:r w:rsidR="00B231F4">
        <w:rPr>
          <w:rFonts w:ascii="Times New Roman" w:hAnsi="Times New Roman"/>
          <w:sz w:val="24"/>
          <w:szCs w:val="24"/>
        </w:rPr>
        <w:t>.</w:t>
      </w:r>
      <w:r w:rsidR="00130FCA">
        <w:rPr>
          <w:rFonts w:ascii="Times New Roman" w:hAnsi="Times New Roman"/>
          <w:sz w:val="24"/>
          <w:szCs w:val="24"/>
        </w:rPr>
        <w:t xml:space="preserve">  </w:t>
      </w:r>
    </w:p>
    <w:p w:rsidR="00130FCA" w:rsidRDefault="00130FCA" w:rsidP="00130FCA">
      <w:pPr>
        <w:pStyle w:val="ListParagraph"/>
        <w:spacing w:after="0" w:line="240" w:lineRule="auto"/>
        <w:ind w:left="567"/>
        <w:jc w:val="both"/>
        <w:rPr>
          <w:rFonts w:ascii="Times New Roman" w:hAnsi="Times New Roman"/>
          <w:color w:val="000000"/>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900"/>
        <w:jc w:val="both"/>
        <w:rPr>
          <w:rFonts w:ascii="Times New Roman" w:hAnsi="Times New Roman"/>
          <w:color w:val="3E3D40"/>
          <w:sz w:val="24"/>
          <w:szCs w:val="24"/>
        </w:rPr>
      </w:pPr>
    </w:p>
    <w:p w:rsidR="003C34B6" w:rsidRPr="00EC26AA" w:rsidRDefault="003C34B6" w:rsidP="00EC26AA">
      <w:pPr>
        <w:spacing w:after="0" w:line="240" w:lineRule="auto"/>
        <w:ind w:left="540"/>
        <w:jc w:val="both"/>
        <w:rPr>
          <w:rFonts w:ascii="Times New Roman" w:hAnsi="Times New Roman"/>
          <w:b/>
          <w:i/>
          <w:sz w:val="24"/>
          <w:szCs w:val="24"/>
          <w:u w:val="single"/>
        </w:rPr>
      </w:pPr>
      <w:r w:rsidRPr="00EC26AA">
        <w:rPr>
          <w:rFonts w:ascii="Times New Roman" w:hAnsi="Times New Roman"/>
          <w:b/>
          <w:i/>
          <w:sz w:val="24"/>
          <w:szCs w:val="24"/>
          <w:u w:val="single"/>
        </w:rPr>
        <w:t xml:space="preserve">Remuneration Committee </w:t>
      </w:r>
    </w:p>
    <w:p w:rsidR="003C34B6" w:rsidRDefault="003C34B6" w:rsidP="003C34B6">
      <w:pPr>
        <w:pStyle w:val="ListParagraph"/>
        <w:spacing w:after="0" w:line="240" w:lineRule="auto"/>
        <w:ind w:left="900"/>
        <w:jc w:val="both"/>
        <w:rPr>
          <w:rFonts w:ascii="Times New Roman" w:hAnsi="Times New Roman"/>
          <w:sz w:val="24"/>
          <w:szCs w:val="24"/>
        </w:rPr>
      </w:pPr>
    </w:p>
    <w:p w:rsidR="00130FCA" w:rsidRDefault="00130FCA" w:rsidP="00130FCA">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Indicate whether the </w:t>
      </w:r>
      <w:r w:rsidR="001E3988">
        <w:rPr>
          <w:rFonts w:ascii="Times New Roman" w:hAnsi="Times New Roman"/>
          <w:sz w:val="24"/>
          <w:szCs w:val="24"/>
        </w:rPr>
        <w:t>AIFM</w:t>
      </w:r>
      <w:r>
        <w:rPr>
          <w:rFonts w:ascii="Times New Roman" w:hAnsi="Times New Roman"/>
          <w:sz w:val="24"/>
          <w:szCs w:val="24"/>
        </w:rPr>
        <w:t xml:space="preserve"> has</w:t>
      </w:r>
      <w:r w:rsidR="002F140D">
        <w:rPr>
          <w:rFonts w:ascii="Times New Roman" w:hAnsi="Times New Roman"/>
          <w:sz w:val="24"/>
          <w:szCs w:val="24"/>
        </w:rPr>
        <w:t xml:space="preserve"> </w:t>
      </w:r>
      <w:r>
        <w:rPr>
          <w:rFonts w:ascii="Times New Roman" w:hAnsi="Times New Roman"/>
          <w:sz w:val="24"/>
          <w:szCs w:val="24"/>
        </w:rPr>
        <w:t xml:space="preserve">a remuneration committee </w:t>
      </w:r>
    </w:p>
    <w:p w:rsidR="00130FCA" w:rsidRDefault="00130FCA" w:rsidP="00130FCA">
      <w:pPr>
        <w:pStyle w:val="ListParagraph"/>
        <w:spacing w:after="0" w:line="240" w:lineRule="auto"/>
        <w:ind w:left="900"/>
        <w:jc w:val="both"/>
        <w:rPr>
          <w:rFonts w:ascii="Times New Roman" w:hAnsi="Times New Roman"/>
          <w:sz w:val="24"/>
          <w:szCs w:val="24"/>
        </w:rPr>
      </w:pPr>
    </w:p>
    <w:p w:rsidR="00130FCA" w:rsidRPr="00BC7B30" w:rsidRDefault="001E3988" w:rsidP="00130FCA">
      <w:pPr>
        <w:pStyle w:val="ListParagraph"/>
        <w:numPr>
          <w:ilvl w:val="0"/>
          <w:numId w:val="16"/>
        </w:numPr>
        <w:spacing w:after="0" w:line="240" w:lineRule="auto"/>
        <w:jc w:val="both"/>
        <w:rPr>
          <w:rFonts w:ascii="Times New Roman" w:hAnsi="Times New Roman"/>
          <w:color w:val="000000"/>
          <w:sz w:val="24"/>
          <w:szCs w:val="24"/>
        </w:rPr>
      </w:pPr>
      <w:r>
        <w:rPr>
          <w:rFonts w:ascii="Times New Roman" w:hAnsi="Times New Roman"/>
          <w:sz w:val="24"/>
          <w:szCs w:val="24"/>
        </w:rPr>
        <w:t>In the affirmative</w:t>
      </w:r>
      <w:r w:rsidR="00130FCA">
        <w:rPr>
          <w:rFonts w:ascii="Times New Roman" w:hAnsi="Times New Roman"/>
          <w:sz w:val="24"/>
          <w:szCs w:val="24"/>
        </w:rPr>
        <w:t>, outline the composition of the remuneration committee or otherwise indicate who will sit on the remuneration committee, once this is established</w:t>
      </w:r>
    </w:p>
    <w:p w:rsidR="00130FCA" w:rsidRDefault="00130FCA" w:rsidP="00130FCA">
      <w:pPr>
        <w:pStyle w:val="ListParagraph"/>
        <w:spacing w:after="0" w:line="240" w:lineRule="auto"/>
        <w:ind w:left="900"/>
        <w:jc w:val="both"/>
        <w:rPr>
          <w:rFonts w:ascii="Times New Roman" w:hAnsi="Times New Roman"/>
          <w:color w:val="00000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0"/>
        <w:jc w:val="both"/>
        <w:rPr>
          <w:rFonts w:ascii="Times New Roman" w:hAnsi="Times New Roman"/>
          <w:color w:val="000000"/>
          <w:sz w:val="24"/>
          <w:szCs w:val="24"/>
        </w:rPr>
      </w:pPr>
    </w:p>
    <w:p w:rsidR="00130FCA" w:rsidRDefault="002550C7" w:rsidP="00130FCA">
      <w:pPr>
        <w:pStyle w:val="ListParagraph"/>
        <w:numPr>
          <w:ilvl w:val="0"/>
          <w:numId w:val="16"/>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Provide a </w:t>
      </w:r>
      <w:r w:rsidR="00AC78AD">
        <w:rPr>
          <w:rFonts w:ascii="Times New Roman" w:hAnsi="Times New Roman"/>
          <w:color w:val="000000"/>
          <w:sz w:val="24"/>
          <w:szCs w:val="24"/>
        </w:rPr>
        <w:t>description as to</w:t>
      </w:r>
      <w:r w:rsidR="00130FCA">
        <w:rPr>
          <w:rFonts w:ascii="Times New Roman" w:hAnsi="Times New Roman"/>
          <w:color w:val="000000"/>
          <w:sz w:val="24"/>
          <w:szCs w:val="24"/>
        </w:rPr>
        <w:t xml:space="preserve"> how the remuneration committee is established</w:t>
      </w:r>
      <w:r w:rsidR="00D30A4B">
        <w:rPr>
          <w:rFonts w:ascii="Times New Roman" w:hAnsi="Times New Roman"/>
          <w:color w:val="000000"/>
          <w:sz w:val="24"/>
          <w:szCs w:val="24"/>
        </w:rPr>
        <w:t>, which must be in such</w:t>
      </w:r>
      <w:r w:rsidR="00130FCA">
        <w:rPr>
          <w:rFonts w:ascii="Times New Roman" w:hAnsi="Times New Roman"/>
          <w:color w:val="000000"/>
          <w:sz w:val="24"/>
          <w:szCs w:val="24"/>
        </w:rPr>
        <w:t xml:space="preserve"> a way that enables it to exercise independent judgement on remuneration policies and practices </w:t>
      </w:r>
      <w:r w:rsidR="00F43B75" w:rsidRPr="00F43B75">
        <w:rPr>
          <w:rFonts w:ascii="Times New Roman" w:hAnsi="Times New Roman"/>
          <w:color w:val="000000"/>
          <w:sz w:val="24"/>
          <w:szCs w:val="24"/>
        </w:rPr>
        <w:t>a</w:t>
      </w:r>
      <w:r w:rsidR="00F43B75">
        <w:rPr>
          <w:rFonts w:ascii="Times New Roman" w:hAnsi="Times New Roman"/>
          <w:color w:val="000000"/>
          <w:sz w:val="24"/>
          <w:szCs w:val="24"/>
        </w:rPr>
        <w:t>s well as on</w:t>
      </w:r>
      <w:r w:rsidR="00F43B75" w:rsidRPr="00F43B75">
        <w:rPr>
          <w:rFonts w:ascii="Times New Roman" w:hAnsi="Times New Roman"/>
          <w:color w:val="000000"/>
          <w:sz w:val="24"/>
          <w:szCs w:val="24"/>
        </w:rPr>
        <w:t xml:space="preserve"> </w:t>
      </w:r>
      <w:r w:rsidR="00130FCA" w:rsidRPr="00F43B75">
        <w:rPr>
          <w:rFonts w:ascii="Times New Roman" w:hAnsi="Times New Roman"/>
          <w:color w:val="000000"/>
          <w:sz w:val="24"/>
          <w:szCs w:val="24"/>
        </w:rPr>
        <w:t>the incentives created for managing risk</w:t>
      </w:r>
      <w:r w:rsidR="00B231F4">
        <w:rPr>
          <w:rFonts w:ascii="Times New Roman" w:hAnsi="Times New Roman"/>
          <w:color w:val="000000"/>
          <w:sz w:val="24"/>
          <w:szCs w:val="24"/>
        </w:rPr>
        <w:t>.</w:t>
      </w: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F96B0A" w:rsidTr="00130FCA">
        <w:trPr>
          <w:trHeight w:val="276"/>
        </w:trPr>
        <w:tc>
          <w:tcPr>
            <w:tcW w:w="8789" w:type="dxa"/>
            <w:vMerge w:val="restart"/>
            <w:tcBorders>
              <w:top w:val="single" w:sz="8" w:space="0" w:color="auto"/>
            </w:tcBorders>
            <w:shd w:val="clear" w:color="000000" w:fill="FFFF00"/>
          </w:tcPr>
          <w:p w:rsidR="00130FCA" w:rsidRPr="00F96B0A" w:rsidRDefault="00130FCA" w:rsidP="00130FCA">
            <w:pPr>
              <w:spacing w:after="0" w:line="240" w:lineRule="auto"/>
              <w:jc w:val="both"/>
              <w:rPr>
                <w:rFonts w:ascii="Times New Roman" w:hAnsi="Times New Roman"/>
                <w:sz w:val="24"/>
                <w:szCs w:val="24"/>
                <w:lang w:eastAsia="en-GB"/>
              </w:rPr>
            </w:pPr>
            <w:r w:rsidRPr="00F96B0A">
              <w:rPr>
                <w:rFonts w:ascii="Times New Roman" w:hAnsi="Times New Roman"/>
                <w:sz w:val="24"/>
                <w:szCs w:val="24"/>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F96B0A" w:rsidRDefault="00130FCA" w:rsidP="00130FCA">
            <w:pPr>
              <w:spacing w:after="0" w:line="240" w:lineRule="auto"/>
              <w:jc w:val="both"/>
              <w:rPr>
                <w:rFonts w:ascii="Times New Roman" w:hAnsi="Times New Roman"/>
                <w:sz w:val="24"/>
                <w:szCs w:val="24"/>
                <w:lang w:eastAsia="en-GB"/>
              </w:rPr>
            </w:pPr>
            <w:r w:rsidRPr="00F96B0A">
              <w:rPr>
                <w:rFonts w:ascii="Times New Roman" w:hAnsi="Times New Roman"/>
                <w:sz w:val="24"/>
                <w:szCs w:val="24"/>
                <w:lang w:eastAsia="en-GB"/>
              </w:rPr>
              <w:br/>
            </w:r>
          </w:p>
        </w:tc>
      </w:tr>
      <w:tr w:rsidR="00130FCA" w:rsidRPr="00F96B0A" w:rsidTr="00130FCA">
        <w:trPr>
          <w:trHeight w:val="311"/>
        </w:trPr>
        <w:tc>
          <w:tcPr>
            <w:tcW w:w="8789" w:type="dxa"/>
            <w:vMerge/>
            <w:tcBorders>
              <w:bottom w:val="single" w:sz="4" w:space="0" w:color="auto"/>
            </w:tcBorders>
            <w:vAlign w:val="center"/>
          </w:tcPr>
          <w:p w:rsidR="00130FCA" w:rsidRPr="00F96B0A" w:rsidRDefault="00130FCA" w:rsidP="00130FCA">
            <w:pPr>
              <w:spacing w:after="0" w:line="240" w:lineRule="auto"/>
              <w:jc w:val="both"/>
              <w:rPr>
                <w:rFonts w:ascii="Times New Roman" w:hAnsi="Times New Roman"/>
                <w:sz w:val="24"/>
                <w:szCs w:val="24"/>
                <w:lang w:eastAsia="en-GB"/>
              </w:rPr>
            </w:pPr>
          </w:p>
        </w:tc>
      </w:tr>
    </w:tbl>
    <w:p w:rsidR="00130FCA" w:rsidRPr="00F96B0A" w:rsidRDefault="00130FCA" w:rsidP="00130FCA">
      <w:pPr>
        <w:pStyle w:val="ListParagraph"/>
        <w:spacing w:after="0" w:line="240" w:lineRule="auto"/>
        <w:ind w:left="900"/>
        <w:jc w:val="both"/>
        <w:rPr>
          <w:rFonts w:ascii="Times New Roman" w:hAnsi="Times New Roman"/>
          <w:color w:val="000000"/>
          <w:sz w:val="24"/>
          <w:szCs w:val="24"/>
        </w:rPr>
      </w:pPr>
    </w:p>
    <w:p w:rsidR="00130FCA" w:rsidRDefault="002F140D" w:rsidP="00BF7C7E">
      <w:pPr>
        <w:pStyle w:val="ListParagraph"/>
        <w:numPr>
          <w:ilvl w:val="0"/>
          <w:numId w:val="1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If the AIFM does not have a </w:t>
      </w:r>
      <w:r w:rsidR="00130FCA">
        <w:rPr>
          <w:rFonts w:ascii="Times New Roman" w:hAnsi="Times New Roman"/>
          <w:color w:val="000000"/>
          <w:sz w:val="24"/>
          <w:szCs w:val="24"/>
        </w:rPr>
        <w:t xml:space="preserve">remuneration committee, </w:t>
      </w:r>
      <w:r w:rsidR="002550C7">
        <w:rPr>
          <w:rFonts w:ascii="Times New Roman" w:hAnsi="Times New Roman"/>
          <w:color w:val="000000"/>
          <w:sz w:val="24"/>
          <w:szCs w:val="24"/>
        </w:rPr>
        <w:t xml:space="preserve">provide </w:t>
      </w:r>
      <w:r w:rsidR="003F31BC">
        <w:rPr>
          <w:rFonts w:ascii="Times New Roman" w:hAnsi="Times New Roman"/>
          <w:color w:val="000000"/>
          <w:sz w:val="24"/>
          <w:szCs w:val="24"/>
        </w:rPr>
        <w:t>an indication as to the person</w:t>
      </w:r>
      <w:r w:rsidR="00130FCA">
        <w:rPr>
          <w:rFonts w:ascii="Times New Roman" w:hAnsi="Times New Roman"/>
          <w:color w:val="000000"/>
          <w:sz w:val="24"/>
          <w:szCs w:val="24"/>
        </w:rPr>
        <w:t xml:space="preserve"> by whom the tasks of remuneration are performed and</w:t>
      </w:r>
      <w:r w:rsidR="003F31BC">
        <w:rPr>
          <w:rFonts w:ascii="Times New Roman" w:hAnsi="Times New Roman"/>
          <w:color w:val="000000"/>
          <w:sz w:val="24"/>
          <w:szCs w:val="24"/>
        </w:rPr>
        <w:t xml:space="preserve"> a </w:t>
      </w:r>
      <w:r w:rsidR="002550C7">
        <w:rPr>
          <w:rFonts w:ascii="Times New Roman" w:hAnsi="Times New Roman"/>
          <w:color w:val="000000"/>
          <w:sz w:val="24"/>
          <w:szCs w:val="24"/>
        </w:rPr>
        <w:t>demonstration</w:t>
      </w:r>
      <w:r w:rsidR="003F31BC">
        <w:rPr>
          <w:rFonts w:ascii="Times New Roman" w:hAnsi="Times New Roman"/>
          <w:color w:val="000000"/>
          <w:sz w:val="24"/>
          <w:szCs w:val="24"/>
        </w:rPr>
        <w:t xml:space="preserve">, </w:t>
      </w:r>
      <w:r w:rsidR="00E43793">
        <w:rPr>
          <w:rFonts w:ascii="Times New Roman" w:hAnsi="Times New Roman"/>
          <w:color w:val="000000"/>
          <w:sz w:val="24"/>
          <w:szCs w:val="24"/>
        </w:rPr>
        <w:t xml:space="preserve">in terms of the </w:t>
      </w:r>
      <w:r>
        <w:rPr>
          <w:rFonts w:ascii="Times New Roman" w:hAnsi="Times New Roman"/>
          <w:color w:val="000000"/>
          <w:sz w:val="24"/>
          <w:szCs w:val="24"/>
        </w:rPr>
        <w:t>‘P</w:t>
      </w:r>
      <w:r w:rsidR="00E43793">
        <w:rPr>
          <w:rFonts w:ascii="Times New Roman" w:hAnsi="Times New Roman"/>
          <w:color w:val="000000"/>
          <w:sz w:val="24"/>
          <w:szCs w:val="24"/>
        </w:rPr>
        <w:t xml:space="preserve">roportionality </w:t>
      </w:r>
      <w:r w:rsidR="002550C7">
        <w:rPr>
          <w:rFonts w:ascii="Times New Roman" w:hAnsi="Times New Roman"/>
          <w:color w:val="000000"/>
          <w:sz w:val="24"/>
          <w:szCs w:val="24"/>
        </w:rPr>
        <w:t>P</w:t>
      </w:r>
      <w:r w:rsidR="00E43793">
        <w:rPr>
          <w:rFonts w:ascii="Times New Roman" w:hAnsi="Times New Roman"/>
          <w:color w:val="000000"/>
          <w:sz w:val="24"/>
          <w:szCs w:val="24"/>
        </w:rPr>
        <w:t>rinciple</w:t>
      </w:r>
      <w:r w:rsidR="002550C7">
        <w:rPr>
          <w:rFonts w:ascii="Times New Roman" w:hAnsi="Times New Roman"/>
          <w:color w:val="000000"/>
          <w:sz w:val="24"/>
          <w:szCs w:val="24"/>
        </w:rPr>
        <w:t>’</w:t>
      </w:r>
      <w:r w:rsidR="00E43793">
        <w:rPr>
          <w:rFonts w:ascii="Times New Roman" w:hAnsi="Times New Roman"/>
          <w:color w:val="000000"/>
          <w:sz w:val="24"/>
          <w:szCs w:val="24"/>
        </w:rPr>
        <w:t>,</w:t>
      </w:r>
      <w:r w:rsidR="003F31BC">
        <w:rPr>
          <w:rFonts w:ascii="Times New Roman" w:hAnsi="Times New Roman"/>
          <w:color w:val="000000"/>
          <w:sz w:val="24"/>
          <w:szCs w:val="24"/>
        </w:rPr>
        <w:t xml:space="preserve"> as to the reason</w:t>
      </w:r>
      <w:r w:rsidR="00E43793">
        <w:rPr>
          <w:rFonts w:ascii="Times New Roman" w:hAnsi="Times New Roman"/>
          <w:color w:val="000000"/>
          <w:sz w:val="24"/>
          <w:szCs w:val="24"/>
        </w:rPr>
        <w:t xml:space="preserve"> </w:t>
      </w:r>
      <w:r w:rsidR="00130FCA" w:rsidRPr="00B6139B">
        <w:rPr>
          <w:rFonts w:ascii="Times New Roman" w:hAnsi="Times New Roman"/>
          <w:color w:val="000000"/>
          <w:sz w:val="24"/>
          <w:szCs w:val="24"/>
        </w:rPr>
        <w:t xml:space="preserve">why the AIFM </w:t>
      </w:r>
      <w:r w:rsidR="00130FCA">
        <w:rPr>
          <w:rFonts w:ascii="Times New Roman" w:hAnsi="Times New Roman"/>
          <w:color w:val="000000"/>
          <w:sz w:val="24"/>
          <w:szCs w:val="24"/>
        </w:rPr>
        <w:t>d</w:t>
      </w:r>
      <w:r w:rsidR="00130FCA" w:rsidRPr="00B6139B">
        <w:rPr>
          <w:rFonts w:ascii="Times New Roman" w:hAnsi="Times New Roman"/>
          <w:color w:val="000000"/>
          <w:sz w:val="24"/>
          <w:szCs w:val="24"/>
        </w:rPr>
        <w:t>oes not need to establish a remuneration committee</w:t>
      </w:r>
      <w:r w:rsidR="003F31BC">
        <w:rPr>
          <w:rFonts w:ascii="Times New Roman" w:hAnsi="Times New Roman"/>
          <w:color w:val="000000"/>
          <w:sz w:val="24"/>
          <w:szCs w:val="24"/>
        </w:rPr>
        <w:t>. The reason must be grounded</w:t>
      </w:r>
      <w:r w:rsidR="00130FCA">
        <w:rPr>
          <w:rFonts w:ascii="Times New Roman" w:hAnsi="Times New Roman"/>
          <w:color w:val="000000"/>
          <w:sz w:val="24"/>
          <w:szCs w:val="24"/>
        </w:rPr>
        <w:t xml:space="preserve"> in terms of</w:t>
      </w:r>
      <w:r w:rsidR="003F31BC">
        <w:rPr>
          <w:rFonts w:ascii="Times New Roman" w:hAnsi="Times New Roman"/>
          <w:color w:val="000000"/>
          <w:sz w:val="24"/>
          <w:szCs w:val="24"/>
        </w:rPr>
        <w:t xml:space="preserve"> the AIFM’s</w:t>
      </w:r>
      <w:r w:rsidR="00130FCA">
        <w:rPr>
          <w:rFonts w:ascii="Times New Roman" w:hAnsi="Times New Roman"/>
          <w:color w:val="000000"/>
          <w:sz w:val="24"/>
          <w:szCs w:val="24"/>
        </w:rPr>
        <w:t xml:space="preserve"> size internal organisation and the nature, scope and complexity of its activities. </w:t>
      </w:r>
    </w:p>
    <w:p w:rsidR="00130FCA" w:rsidRDefault="00130FCA" w:rsidP="00130FCA">
      <w:pPr>
        <w:pStyle w:val="ListParagraph"/>
        <w:spacing w:after="0" w:line="240" w:lineRule="auto"/>
        <w:ind w:left="900"/>
        <w:jc w:val="both"/>
        <w:rPr>
          <w:rFonts w:ascii="Times New Roman" w:hAnsi="Times New Roman"/>
          <w:color w:val="00000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0" w:firstLine="720"/>
        <w:jc w:val="both"/>
        <w:rPr>
          <w:rFonts w:ascii="Times New Roman" w:hAnsi="Times New Roman"/>
          <w:color w:val="000000"/>
          <w:sz w:val="24"/>
          <w:szCs w:val="24"/>
        </w:rPr>
      </w:pPr>
    </w:p>
    <w:p w:rsidR="00E43793" w:rsidRPr="00EC26AA" w:rsidRDefault="00E43793" w:rsidP="00E43793">
      <w:pPr>
        <w:spacing w:after="0" w:line="240" w:lineRule="auto"/>
        <w:ind w:firstLine="540"/>
        <w:jc w:val="both"/>
        <w:rPr>
          <w:rFonts w:ascii="Times New Roman" w:hAnsi="Times New Roman"/>
          <w:b/>
          <w:i/>
          <w:sz w:val="24"/>
          <w:szCs w:val="24"/>
          <w:u w:val="single"/>
        </w:rPr>
      </w:pPr>
      <w:r>
        <w:rPr>
          <w:rFonts w:ascii="Times New Roman" w:hAnsi="Times New Roman"/>
          <w:b/>
          <w:i/>
          <w:sz w:val="24"/>
          <w:szCs w:val="24"/>
          <w:u w:val="single"/>
        </w:rPr>
        <w:t xml:space="preserve">Structure of Remuneration  </w:t>
      </w:r>
    </w:p>
    <w:p w:rsidR="00E43793" w:rsidRDefault="00E43793" w:rsidP="00EC26AA">
      <w:pPr>
        <w:spacing w:after="0" w:line="240" w:lineRule="auto"/>
        <w:ind w:firstLine="567"/>
        <w:jc w:val="both"/>
        <w:rPr>
          <w:rFonts w:ascii="Times New Roman" w:hAnsi="Times New Roman"/>
          <w:b/>
          <w:i/>
          <w:sz w:val="24"/>
          <w:szCs w:val="24"/>
          <w:u w:val="single"/>
        </w:rPr>
      </w:pPr>
    </w:p>
    <w:p w:rsidR="00920E2B" w:rsidRPr="00F43B75" w:rsidRDefault="00AF7456" w:rsidP="007337E7">
      <w:pPr>
        <w:pStyle w:val="ListParagraph"/>
        <w:numPr>
          <w:ilvl w:val="0"/>
          <w:numId w:val="15"/>
        </w:numPr>
        <w:spacing w:after="0" w:line="240" w:lineRule="auto"/>
        <w:jc w:val="both"/>
        <w:rPr>
          <w:rFonts w:ascii="Times New Roman" w:hAnsi="Times New Roman"/>
          <w:b/>
          <w:i/>
          <w:sz w:val="24"/>
          <w:szCs w:val="24"/>
          <w:u w:val="single"/>
        </w:rPr>
      </w:pPr>
      <w:r w:rsidRPr="00F43B75">
        <w:rPr>
          <w:rFonts w:ascii="Times New Roman" w:hAnsi="Times New Roman"/>
          <w:sz w:val="24"/>
          <w:szCs w:val="24"/>
        </w:rPr>
        <w:t xml:space="preserve">Explain how the </w:t>
      </w:r>
      <w:r w:rsidR="00B66071" w:rsidRPr="00F43B75">
        <w:rPr>
          <w:rFonts w:ascii="Times New Roman" w:hAnsi="Times New Roman"/>
          <w:sz w:val="24"/>
          <w:szCs w:val="24"/>
        </w:rPr>
        <w:t xml:space="preserve">AIFM’s rules on the structure of pay are </w:t>
      </w:r>
      <w:r w:rsidRPr="00F43B75">
        <w:rPr>
          <w:rFonts w:ascii="Times New Roman" w:hAnsi="Times New Roman"/>
          <w:sz w:val="24"/>
          <w:szCs w:val="24"/>
        </w:rPr>
        <w:t>consistent with sound and effective risk management and in line with the interests of the AIFM, AIFs and investors</w:t>
      </w:r>
      <w:r w:rsidR="00B231F4" w:rsidRPr="00F43B75">
        <w:rPr>
          <w:rFonts w:ascii="Times New Roman" w:hAnsi="Times New Roman"/>
          <w:sz w:val="24"/>
          <w:szCs w:val="24"/>
        </w:rPr>
        <w:t xml:space="preserve">. </w:t>
      </w:r>
    </w:p>
    <w:p w:rsidR="00920E2B" w:rsidRDefault="00920E2B" w:rsidP="00920E2B">
      <w:pPr>
        <w:pStyle w:val="ListParagraph"/>
        <w:spacing w:after="0" w:line="240" w:lineRule="auto"/>
        <w:ind w:left="1620"/>
        <w:jc w:val="both"/>
        <w:rPr>
          <w:rFonts w:ascii="Times New Roman" w:hAnsi="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920E2B" w:rsidRPr="00203166" w:rsidTr="00B619EE">
        <w:trPr>
          <w:trHeight w:val="207"/>
        </w:trPr>
        <w:tc>
          <w:tcPr>
            <w:tcW w:w="8789" w:type="dxa"/>
            <w:vMerge w:val="restart"/>
            <w:tcBorders>
              <w:top w:val="single" w:sz="8" w:space="0" w:color="auto"/>
            </w:tcBorders>
            <w:shd w:val="clear" w:color="000000" w:fill="FFFF00"/>
          </w:tcPr>
          <w:p w:rsidR="00920E2B" w:rsidRPr="008E31CE" w:rsidRDefault="00920E2B"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920E2B" w:rsidRPr="00C01DA9" w:rsidRDefault="00920E2B"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920E2B" w:rsidRPr="00203166" w:rsidTr="00B619EE">
        <w:trPr>
          <w:trHeight w:val="311"/>
        </w:trPr>
        <w:tc>
          <w:tcPr>
            <w:tcW w:w="8789" w:type="dxa"/>
            <w:vMerge/>
            <w:tcBorders>
              <w:bottom w:val="single" w:sz="4" w:space="0" w:color="auto"/>
            </w:tcBorders>
            <w:vAlign w:val="center"/>
          </w:tcPr>
          <w:p w:rsidR="00920E2B" w:rsidRPr="00C01DA9" w:rsidRDefault="00920E2B" w:rsidP="00B619EE">
            <w:pPr>
              <w:spacing w:after="0" w:line="240" w:lineRule="auto"/>
              <w:jc w:val="both"/>
              <w:rPr>
                <w:rFonts w:ascii="Times New Roman" w:hAnsi="Times New Roman"/>
                <w:sz w:val="18"/>
                <w:szCs w:val="18"/>
                <w:lang w:eastAsia="en-GB"/>
              </w:rPr>
            </w:pPr>
          </w:p>
        </w:tc>
      </w:tr>
    </w:tbl>
    <w:p w:rsidR="00920E2B" w:rsidRDefault="00920E2B" w:rsidP="00920E2B">
      <w:pPr>
        <w:pStyle w:val="ListParagraph"/>
        <w:spacing w:after="0" w:line="240" w:lineRule="auto"/>
        <w:ind w:left="1620"/>
        <w:jc w:val="both"/>
        <w:rPr>
          <w:rFonts w:ascii="Times New Roman" w:hAnsi="Times New Roman"/>
          <w:sz w:val="24"/>
          <w:szCs w:val="24"/>
        </w:rPr>
      </w:pPr>
    </w:p>
    <w:p w:rsidR="00AF7456" w:rsidRPr="00B3631C" w:rsidRDefault="00AD1A33" w:rsidP="007337E7">
      <w:pPr>
        <w:pStyle w:val="ListParagraph"/>
        <w:numPr>
          <w:ilvl w:val="0"/>
          <w:numId w:val="15"/>
        </w:numPr>
        <w:spacing w:after="0" w:line="240" w:lineRule="auto"/>
        <w:jc w:val="both"/>
        <w:rPr>
          <w:rFonts w:ascii="Times New Roman" w:hAnsi="Times New Roman"/>
          <w:b/>
          <w:i/>
          <w:sz w:val="24"/>
          <w:szCs w:val="24"/>
          <w:u w:val="single"/>
        </w:rPr>
      </w:pPr>
      <w:r>
        <w:rPr>
          <w:rFonts w:ascii="Times New Roman" w:hAnsi="Times New Roman"/>
          <w:sz w:val="24"/>
          <w:szCs w:val="24"/>
        </w:rPr>
        <w:t>Explain</w:t>
      </w:r>
      <w:r w:rsidR="001861F1">
        <w:rPr>
          <w:rFonts w:ascii="Times New Roman" w:hAnsi="Times New Roman"/>
          <w:sz w:val="24"/>
          <w:szCs w:val="24"/>
        </w:rPr>
        <w:t xml:space="preserve"> i)</w:t>
      </w:r>
      <w:r>
        <w:rPr>
          <w:rFonts w:ascii="Times New Roman" w:hAnsi="Times New Roman"/>
          <w:sz w:val="24"/>
          <w:szCs w:val="24"/>
        </w:rPr>
        <w:t xml:space="preserve"> how the remuneration policy ensures a balance between fixed and variable components of total remuneration</w:t>
      </w:r>
      <w:r w:rsidR="001861F1">
        <w:rPr>
          <w:rFonts w:ascii="Times New Roman" w:hAnsi="Times New Roman"/>
          <w:sz w:val="24"/>
          <w:szCs w:val="24"/>
        </w:rPr>
        <w:t>;</w:t>
      </w:r>
      <w:r w:rsidR="0065665B">
        <w:rPr>
          <w:rFonts w:ascii="Times New Roman" w:hAnsi="Times New Roman"/>
          <w:sz w:val="24"/>
          <w:szCs w:val="24"/>
        </w:rPr>
        <w:t xml:space="preserve"> ii)</w:t>
      </w:r>
      <w:r w:rsidR="001861F1">
        <w:rPr>
          <w:rFonts w:ascii="Times New Roman" w:hAnsi="Times New Roman"/>
          <w:sz w:val="24"/>
          <w:szCs w:val="24"/>
        </w:rPr>
        <w:t xml:space="preserve"> </w:t>
      </w:r>
      <w:r w:rsidR="0065665B">
        <w:rPr>
          <w:rFonts w:ascii="Times New Roman" w:hAnsi="Times New Roman"/>
          <w:sz w:val="24"/>
          <w:szCs w:val="24"/>
        </w:rPr>
        <w:t>the measurement of performance</w:t>
      </w:r>
      <w:r w:rsidR="001861F1">
        <w:rPr>
          <w:rFonts w:ascii="Times New Roman" w:hAnsi="Times New Roman"/>
          <w:sz w:val="24"/>
          <w:szCs w:val="24"/>
        </w:rPr>
        <w:t xml:space="preserve"> of the AIF</w:t>
      </w:r>
      <w:r w:rsidR="0065665B">
        <w:rPr>
          <w:rFonts w:ascii="Times New Roman" w:hAnsi="Times New Roman"/>
          <w:sz w:val="24"/>
          <w:szCs w:val="24"/>
        </w:rPr>
        <w:t xml:space="preserve"> as well as </w:t>
      </w:r>
      <w:r w:rsidR="001861F1">
        <w:rPr>
          <w:rFonts w:ascii="Times New Roman" w:hAnsi="Times New Roman"/>
          <w:sz w:val="24"/>
          <w:szCs w:val="24"/>
        </w:rPr>
        <w:t>its</w:t>
      </w:r>
      <w:r w:rsidR="0065665B">
        <w:rPr>
          <w:rFonts w:ascii="Times New Roman" w:hAnsi="Times New Roman"/>
          <w:sz w:val="24"/>
          <w:szCs w:val="24"/>
        </w:rPr>
        <w:t xml:space="preserve"> structure; and iii) </w:t>
      </w:r>
      <w:r w:rsidR="008F11EB">
        <w:rPr>
          <w:rFonts w:ascii="Times New Roman" w:hAnsi="Times New Roman"/>
          <w:sz w:val="24"/>
          <w:szCs w:val="24"/>
        </w:rPr>
        <w:t>how variable remuneration is adjusted for risk, where appropriate.</w:t>
      </w:r>
      <w:r w:rsidR="0065665B">
        <w:rPr>
          <w:rFonts w:ascii="Times New Roman" w:hAnsi="Times New Roman"/>
          <w:sz w:val="24"/>
          <w:szCs w:val="24"/>
        </w:rPr>
        <w:t xml:space="preserve"> </w:t>
      </w:r>
    </w:p>
    <w:p w:rsidR="00F43B75" w:rsidRPr="002F140D" w:rsidRDefault="00F43B75" w:rsidP="00B3631C">
      <w:pPr>
        <w:pStyle w:val="ListParagraph"/>
        <w:spacing w:after="0" w:line="240" w:lineRule="auto"/>
        <w:ind w:left="900"/>
        <w:jc w:val="both"/>
        <w:rPr>
          <w:rFonts w:ascii="Times New Roman" w:hAnsi="Times New Roman"/>
          <w:b/>
          <w:i/>
          <w:sz w:val="24"/>
          <w:szCs w:val="24"/>
          <w:u w:val="single"/>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AD1A33" w:rsidRPr="00203166" w:rsidTr="00B619EE">
        <w:trPr>
          <w:trHeight w:val="207"/>
        </w:trPr>
        <w:tc>
          <w:tcPr>
            <w:tcW w:w="8789" w:type="dxa"/>
            <w:vMerge w:val="restart"/>
            <w:tcBorders>
              <w:top w:val="single" w:sz="8" w:space="0" w:color="auto"/>
            </w:tcBorders>
            <w:shd w:val="clear" w:color="000000" w:fill="FFFF00"/>
          </w:tcPr>
          <w:p w:rsidR="00AD1A33" w:rsidRPr="008E31CE" w:rsidRDefault="00AD1A33"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453300" w:rsidRDefault="00453300" w:rsidP="00B619EE">
            <w:pPr>
              <w:spacing w:after="0" w:line="240" w:lineRule="auto"/>
              <w:jc w:val="both"/>
              <w:rPr>
                <w:rFonts w:ascii="Times New Roman" w:hAnsi="Times New Roman"/>
                <w:sz w:val="24"/>
                <w:szCs w:val="24"/>
                <w:lang w:eastAsia="en-GB"/>
              </w:rPr>
            </w:pPr>
          </w:p>
          <w:p w:rsidR="00AD1A33" w:rsidRPr="00C01DA9" w:rsidRDefault="00AD1A33" w:rsidP="00B619EE">
            <w:pPr>
              <w:spacing w:after="0" w:line="240" w:lineRule="auto"/>
              <w:jc w:val="both"/>
              <w:rPr>
                <w:rFonts w:ascii="Times New Roman" w:hAnsi="Times New Roman"/>
                <w:sz w:val="18"/>
                <w:szCs w:val="18"/>
                <w:lang w:eastAsia="en-GB"/>
              </w:rPr>
            </w:pPr>
          </w:p>
        </w:tc>
      </w:tr>
      <w:tr w:rsidR="00AD1A33" w:rsidRPr="00203166" w:rsidTr="00B619EE">
        <w:trPr>
          <w:trHeight w:val="311"/>
        </w:trPr>
        <w:tc>
          <w:tcPr>
            <w:tcW w:w="8789" w:type="dxa"/>
            <w:vMerge/>
            <w:tcBorders>
              <w:bottom w:val="single" w:sz="4" w:space="0" w:color="auto"/>
            </w:tcBorders>
            <w:vAlign w:val="center"/>
          </w:tcPr>
          <w:p w:rsidR="00AD1A33" w:rsidRPr="00C01DA9" w:rsidRDefault="00AD1A33" w:rsidP="00B619EE">
            <w:pPr>
              <w:spacing w:after="0" w:line="240" w:lineRule="auto"/>
              <w:jc w:val="both"/>
              <w:rPr>
                <w:rFonts w:ascii="Times New Roman" w:hAnsi="Times New Roman"/>
                <w:sz w:val="18"/>
                <w:szCs w:val="18"/>
                <w:lang w:eastAsia="en-GB"/>
              </w:rPr>
            </w:pPr>
          </w:p>
        </w:tc>
      </w:tr>
    </w:tbl>
    <w:p w:rsidR="00AD1A33" w:rsidRDefault="00AD1A33" w:rsidP="00AF7456">
      <w:pPr>
        <w:pStyle w:val="ListParagraph"/>
        <w:spacing w:after="0" w:line="240" w:lineRule="auto"/>
        <w:ind w:left="1620"/>
        <w:jc w:val="both"/>
        <w:rPr>
          <w:rFonts w:ascii="Times New Roman" w:hAnsi="Times New Roman"/>
          <w:sz w:val="24"/>
          <w:szCs w:val="24"/>
        </w:rPr>
      </w:pPr>
    </w:p>
    <w:p w:rsidR="00F43B75" w:rsidRDefault="00F43B75" w:rsidP="00DB5C5A">
      <w:pPr>
        <w:spacing w:after="0" w:line="240" w:lineRule="auto"/>
        <w:ind w:firstLine="567"/>
        <w:jc w:val="both"/>
        <w:rPr>
          <w:rFonts w:ascii="Times New Roman" w:hAnsi="Times New Roman"/>
          <w:b/>
          <w:i/>
          <w:sz w:val="24"/>
          <w:szCs w:val="24"/>
          <w:u w:val="single"/>
        </w:rPr>
      </w:pPr>
    </w:p>
    <w:p w:rsidR="00DB5C5A" w:rsidRPr="00EC26AA" w:rsidRDefault="00DB5C5A" w:rsidP="00DB5C5A">
      <w:pPr>
        <w:spacing w:after="0" w:line="240" w:lineRule="auto"/>
        <w:ind w:firstLine="567"/>
        <w:jc w:val="both"/>
        <w:rPr>
          <w:rFonts w:ascii="Times New Roman" w:hAnsi="Times New Roman"/>
          <w:color w:val="000000"/>
          <w:sz w:val="24"/>
          <w:szCs w:val="24"/>
        </w:rPr>
      </w:pPr>
      <w:r>
        <w:rPr>
          <w:rFonts w:ascii="Times New Roman" w:hAnsi="Times New Roman"/>
          <w:b/>
          <w:i/>
          <w:sz w:val="24"/>
          <w:szCs w:val="24"/>
          <w:u w:val="single"/>
        </w:rPr>
        <w:t>Remuneration of Control functions</w:t>
      </w:r>
    </w:p>
    <w:p w:rsidR="00DB5C5A" w:rsidRDefault="00DB5C5A" w:rsidP="00AF7456">
      <w:pPr>
        <w:pStyle w:val="ListParagraph"/>
        <w:spacing w:after="0" w:line="240" w:lineRule="auto"/>
        <w:ind w:left="1620"/>
        <w:jc w:val="both"/>
        <w:rPr>
          <w:rFonts w:ascii="Times New Roman" w:hAnsi="Times New Roman"/>
          <w:sz w:val="24"/>
          <w:szCs w:val="24"/>
        </w:rPr>
      </w:pPr>
    </w:p>
    <w:p w:rsidR="007337E7" w:rsidRPr="00F43B75" w:rsidRDefault="00F43B75" w:rsidP="00DB5C5A">
      <w:pPr>
        <w:pStyle w:val="ListParagraph"/>
        <w:numPr>
          <w:ilvl w:val="0"/>
          <w:numId w:val="15"/>
        </w:numPr>
        <w:spacing w:after="0" w:line="240" w:lineRule="auto"/>
        <w:jc w:val="both"/>
        <w:rPr>
          <w:rFonts w:ascii="Times New Roman" w:hAnsi="Times New Roman" w:cs="Times New Roman"/>
          <w:sz w:val="24"/>
          <w:szCs w:val="24"/>
        </w:rPr>
      </w:pPr>
      <w:r w:rsidRPr="00B3631C">
        <w:rPr>
          <w:rFonts w:ascii="Times New Roman" w:hAnsi="Times New Roman" w:cs="Times New Roman"/>
          <w:sz w:val="24"/>
          <w:szCs w:val="24"/>
        </w:rPr>
        <w:t>Describe</w:t>
      </w:r>
      <w:r w:rsidRPr="00F43B75">
        <w:rPr>
          <w:rFonts w:ascii="Times New Roman" w:hAnsi="Times New Roman" w:cs="Times New Roman"/>
          <w:sz w:val="24"/>
          <w:szCs w:val="24"/>
        </w:rPr>
        <w:t xml:space="preserve"> </w:t>
      </w:r>
      <w:r w:rsidRPr="00B3631C">
        <w:rPr>
          <w:rFonts w:ascii="Times New Roman" w:hAnsi="Times New Roman" w:cs="Times New Roman"/>
          <w:sz w:val="24"/>
          <w:szCs w:val="24"/>
        </w:rPr>
        <w:t xml:space="preserve">briefly </w:t>
      </w:r>
      <w:r w:rsidR="007337E7" w:rsidRPr="00F43B75">
        <w:rPr>
          <w:rFonts w:ascii="Times New Roman" w:hAnsi="Times New Roman" w:cs="Times New Roman"/>
          <w:sz w:val="24"/>
          <w:szCs w:val="24"/>
        </w:rPr>
        <w:t xml:space="preserve">the </w:t>
      </w:r>
      <w:r>
        <w:rPr>
          <w:rFonts w:ascii="Times New Roman" w:hAnsi="Times New Roman" w:cs="Times New Roman"/>
          <w:sz w:val="24"/>
          <w:szCs w:val="24"/>
        </w:rPr>
        <w:t>approach</w:t>
      </w:r>
      <w:r w:rsidR="006934CA">
        <w:rPr>
          <w:rFonts w:ascii="Times New Roman" w:hAnsi="Times New Roman" w:cs="Times New Roman"/>
          <w:sz w:val="24"/>
          <w:szCs w:val="24"/>
        </w:rPr>
        <w:t xml:space="preserve"> to be taken</w:t>
      </w:r>
      <w:r>
        <w:rPr>
          <w:rFonts w:ascii="Times New Roman" w:hAnsi="Times New Roman" w:cs="Times New Roman"/>
          <w:sz w:val="24"/>
          <w:szCs w:val="24"/>
        </w:rPr>
        <w:t xml:space="preserve"> </w:t>
      </w:r>
      <w:r w:rsidR="007337E7" w:rsidRPr="00F43B75">
        <w:rPr>
          <w:rFonts w:ascii="Times New Roman" w:hAnsi="Times New Roman" w:cs="Times New Roman"/>
          <w:sz w:val="24"/>
          <w:szCs w:val="24"/>
        </w:rPr>
        <w:t>with regard to the remuneration of control functions</w:t>
      </w:r>
      <w:r w:rsidR="00706F31" w:rsidRPr="00F43B75">
        <w:rPr>
          <w:rFonts w:ascii="Times New Roman" w:hAnsi="Times New Roman" w:cs="Times New Roman"/>
          <w:sz w:val="24"/>
          <w:szCs w:val="24"/>
        </w:rPr>
        <w:t xml:space="preserve"> </w:t>
      </w:r>
      <w:r w:rsidR="00E63E7D">
        <w:rPr>
          <w:rFonts w:ascii="Times New Roman" w:hAnsi="Times New Roman" w:cs="Times New Roman"/>
          <w:sz w:val="24"/>
          <w:szCs w:val="24"/>
        </w:rPr>
        <w:t>as referred to in</w:t>
      </w:r>
      <w:r w:rsidR="006934CA">
        <w:rPr>
          <w:rFonts w:ascii="Times New Roman" w:hAnsi="Times New Roman" w:cs="Times New Roman"/>
          <w:sz w:val="24"/>
          <w:szCs w:val="24"/>
        </w:rPr>
        <w:t xml:space="preserve"> the</w:t>
      </w:r>
      <w:r w:rsidR="00E63E7D">
        <w:rPr>
          <w:rFonts w:ascii="Times New Roman" w:hAnsi="Times New Roman" w:cs="Times New Roman"/>
          <w:sz w:val="24"/>
          <w:szCs w:val="24"/>
        </w:rPr>
        <w:t xml:space="preserve"> ESMA Guidelines </w:t>
      </w:r>
      <w:r w:rsidR="00706F31" w:rsidRPr="00F43B75">
        <w:rPr>
          <w:rFonts w:ascii="Times New Roman" w:hAnsi="Times New Roman" w:cs="Times New Roman"/>
          <w:sz w:val="24"/>
          <w:szCs w:val="24"/>
        </w:rPr>
        <w:t>and</w:t>
      </w:r>
      <w:r w:rsidR="006934CA">
        <w:rPr>
          <w:rFonts w:ascii="Times New Roman" w:hAnsi="Times New Roman" w:cs="Times New Roman"/>
          <w:sz w:val="24"/>
          <w:szCs w:val="24"/>
        </w:rPr>
        <w:t xml:space="preserve"> an</w:t>
      </w:r>
      <w:r w:rsidR="00706F31" w:rsidRPr="00F43B75">
        <w:rPr>
          <w:rFonts w:ascii="Times New Roman" w:hAnsi="Times New Roman" w:cs="Times New Roman"/>
          <w:sz w:val="24"/>
          <w:szCs w:val="24"/>
        </w:rPr>
        <w:t xml:space="preserve"> outline</w:t>
      </w:r>
      <w:r w:rsidR="006934CA">
        <w:rPr>
          <w:rFonts w:ascii="Times New Roman" w:hAnsi="Times New Roman" w:cs="Times New Roman"/>
          <w:sz w:val="24"/>
          <w:szCs w:val="24"/>
        </w:rPr>
        <w:t xml:space="preserve"> </w:t>
      </w:r>
      <w:r w:rsidR="00767969">
        <w:rPr>
          <w:rFonts w:ascii="Times New Roman" w:hAnsi="Times New Roman" w:cs="Times New Roman"/>
          <w:sz w:val="24"/>
          <w:szCs w:val="24"/>
        </w:rPr>
        <w:t>of the manner in which</w:t>
      </w:r>
      <w:r w:rsidR="007337E7" w:rsidRPr="00F43B75">
        <w:rPr>
          <w:rFonts w:ascii="Times New Roman" w:hAnsi="Times New Roman" w:cs="Times New Roman"/>
          <w:sz w:val="24"/>
          <w:szCs w:val="24"/>
        </w:rPr>
        <w:t xml:space="preserve"> </w:t>
      </w:r>
      <w:r w:rsidR="00706F31" w:rsidRPr="00F43B75">
        <w:rPr>
          <w:rFonts w:ascii="Times New Roman" w:hAnsi="Times New Roman" w:cs="Times New Roman"/>
          <w:sz w:val="24"/>
          <w:szCs w:val="24"/>
        </w:rPr>
        <w:t xml:space="preserve">conflicts of interest </w:t>
      </w:r>
      <w:r w:rsidR="00E63E7D" w:rsidRPr="006734E8">
        <w:rPr>
          <w:rFonts w:ascii="Times New Roman" w:hAnsi="Times New Roman" w:cs="Times New Roman"/>
          <w:sz w:val="24"/>
          <w:szCs w:val="24"/>
        </w:rPr>
        <w:t>are</w:t>
      </w:r>
      <w:r w:rsidR="00E63E7D" w:rsidRPr="00F43B75">
        <w:rPr>
          <w:rFonts w:ascii="Times New Roman" w:hAnsi="Times New Roman" w:cs="Times New Roman"/>
          <w:sz w:val="24"/>
          <w:szCs w:val="24"/>
        </w:rPr>
        <w:t xml:space="preserve"> </w:t>
      </w:r>
      <w:r w:rsidR="00706F31" w:rsidRPr="00F43B75">
        <w:rPr>
          <w:rFonts w:ascii="Times New Roman" w:hAnsi="Times New Roman" w:cs="Times New Roman"/>
          <w:sz w:val="24"/>
          <w:szCs w:val="24"/>
        </w:rPr>
        <w:t>avoided</w:t>
      </w:r>
      <w:r w:rsidR="00B231F4" w:rsidRPr="00F43B75">
        <w:rPr>
          <w:rFonts w:ascii="Times New Roman" w:hAnsi="Times New Roman" w:cs="Times New Roman"/>
          <w:sz w:val="24"/>
          <w:szCs w:val="24"/>
        </w:rPr>
        <w:t xml:space="preserve">. </w:t>
      </w:r>
      <w:r w:rsidR="00E63E7D">
        <w:rPr>
          <w:rFonts w:ascii="Times New Roman" w:hAnsi="Times New Roman" w:cs="Times New Roman"/>
          <w:sz w:val="24"/>
          <w:szCs w:val="24"/>
        </w:rPr>
        <w:t xml:space="preserve"> </w:t>
      </w:r>
    </w:p>
    <w:p w:rsidR="007337E7" w:rsidRDefault="007337E7" w:rsidP="00AF7456">
      <w:pPr>
        <w:pStyle w:val="ListParagraph"/>
        <w:spacing w:after="0" w:line="240" w:lineRule="auto"/>
        <w:ind w:left="1620"/>
        <w:jc w:val="both"/>
        <w:rPr>
          <w:rFonts w:ascii="Times New Roman" w:hAnsi="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7337E7" w:rsidRPr="00203166" w:rsidTr="00B619EE">
        <w:trPr>
          <w:trHeight w:val="207"/>
        </w:trPr>
        <w:tc>
          <w:tcPr>
            <w:tcW w:w="8789" w:type="dxa"/>
            <w:vMerge w:val="restart"/>
            <w:tcBorders>
              <w:top w:val="single" w:sz="8" w:space="0" w:color="auto"/>
            </w:tcBorders>
            <w:shd w:val="clear" w:color="000000" w:fill="FFFF00"/>
          </w:tcPr>
          <w:p w:rsidR="007337E7" w:rsidRPr="008E31CE" w:rsidRDefault="007337E7"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337E7" w:rsidRPr="00C01DA9" w:rsidRDefault="007337E7"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7337E7" w:rsidRPr="00203166" w:rsidTr="00B619EE">
        <w:trPr>
          <w:trHeight w:val="311"/>
        </w:trPr>
        <w:tc>
          <w:tcPr>
            <w:tcW w:w="8789" w:type="dxa"/>
            <w:vMerge/>
            <w:tcBorders>
              <w:bottom w:val="single" w:sz="4" w:space="0" w:color="auto"/>
            </w:tcBorders>
            <w:vAlign w:val="center"/>
          </w:tcPr>
          <w:p w:rsidR="007337E7" w:rsidRPr="00C01DA9" w:rsidRDefault="007337E7" w:rsidP="00B619EE">
            <w:pPr>
              <w:spacing w:after="0" w:line="240" w:lineRule="auto"/>
              <w:jc w:val="both"/>
              <w:rPr>
                <w:rFonts w:ascii="Times New Roman" w:hAnsi="Times New Roman"/>
                <w:sz w:val="18"/>
                <w:szCs w:val="18"/>
                <w:lang w:eastAsia="en-GB"/>
              </w:rPr>
            </w:pPr>
          </w:p>
        </w:tc>
      </w:tr>
    </w:tbl>
    <w:p w:rsidR="007337E7" w:rsidRDefault="007337E7" w:rsidP="00AF7456">
      <w:pPr>
        <w:pStyle w:val="ListParagraph"/>
        <w:spacing w:after="0" w:line="240" w:lineRule="auto"/>
        <w:ind w:left="1620"/>
        <w:jc w:val="both"/>
        <w:rPr>
          <w:rFonts w:ascii="Times New Roman" w:hAnsi="Times New Roman"/>
          <w:sz w:val="24"/>
          <w:szCs w:val="24"/>
        </w:rPr>
      </w:pPr>
    </w:p>
    <w:p w:rsidR="00DB5C5A" w:rsidRPr="00DB5C5A" w:rsidRDefault="00F43B75" w:rsidP="00DB5C5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Describe </w:t>
      </w:r>
      <w:r w:rsidR="00DB5C5A">
        <w:rPr>
          <w:rFonts w:ascii="Times New Roman" w:hAnsi="Times New Roman" w:cs="Times New Roman"/>
          <w:sz w:val="24"/>
          <w:szCs w:val="24"/>
        </w:rPr>
        <w:t xml:space="preserve">the </w:t>
      </w:r>
      <w:r w:rsidR="00DB5C5A" w:rsidRPr="00DB5C5A">
        <w:rPr>
          <w:rFonts w:ascii="Times New Roman" w:hAnsi="Times New Roman" w:cs="Times New Roman"/>
          <w:sz w:val="24"/>
          <w:szCs w:val="24"/>
        </w:rPr>
        <w:t xml:space="preserve">conditions </w:t>
      </w:r>
      <w:r w:rsidR="00DB5C5A">
        <w:rPr>
          <w:rFonts w:ascii="Times New Roman" w:hAnsi="Times New Roman" w:cs="Times New Roman"/>
          <w:sz w:val="24"/>
          <w:szCs w:val="24"/>
        </w:rPr>
        <w:t>that are in place</w:t>
      </w:r>
      <w:r w:rsidR="00DB5C5A" w:rsidRPr="00DB5C5A">
        <w:rPr>
          <w:rFonts w:ascii="Times New Roman" w:hAnsi="Times New Roman" w:cs="Times New Roman"/>
          <w:sz w:val="24"/>
          <w:szCs w:val="24"/>
        </w:rPr>
        <w:t xml:space="preserve"> in order to ensure that the employees engaged in the control functions are compensated independently of the business areas that they oversee and commensurat</w:t>
      </w:r>
      <w:r w:rsidR="00DB5C5A">
        <w:rPr>
          <w:rFonts w:ascii="Times New Roman" w:hAnsi="Times New Roman" w:cs="Times New Roman"/>
          <w:sz w:val="24"/>
          <w:szCs w:val="24"/>
        </w:rPr>
        <w:t>ely with their role in the firm</w:t>
      </w:r>
      <w:r w:rsidR="00DA36B7">
        <w:rPr>
          <w:rFonts w:ascii="Times New Roman" w:hAnsi="Times New Roman" w:cs="Times New Roman"/>
          <w:sz w:val="24"/>
          <w:szCs w:val="24"/>
        </w:rPr>
        <w:t>.</w:t>
      </w:r>
    </w:p>
    <w:p w:rsidR="00DB5C5A" w:rsidRPr="00DB5C5A" w:rsidRDefault="00DB5C5A" w:rsidP="00DB5C5A">
      <w:pPr>
        <w:pStyle w:val="ListParagraph"/>
        <w:spacing w:after="0" w:line="240" w:lineRule="auto"/>
        <w:ind w:left="900"/>
        <w:jc w:val="both"/>
        <w:rPr>
          <w:rFonts w:ascii="Times New Roman" w:hAnsi="Times New Roman" w:cs="Times New Roman"/>
          <w:sz w:val="24"/>
          <w:szCs w:val="24"/>
          <w:u w:val="single"/>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DB5C5A" w:rsidRPr="00203166" w:rsidTr="00B619EE">
        <w:trPr>
          <w:trHeight w:val="207"/>
        </w:trPr>
        <w:tc>
          <w:tcPr>
            <w:tcW w:w="8789" w:type="dxa"/>
            <w:vMerge w:val="restart"/>
            <w:tcBorders>
              <w:top w:val="single" w:sz="8" w:space="0" w:color="auto"/>
            </w:tcBorders>
            <w:shd w:val="clear" w:color="000000" w:fill="FFFF00"/>
          </w:tcPr>
          <w:p w:rsidR="00DB5C5A" w:rsidRDefault="00DB5C5A"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DB5C5A" w:rsidRPr="00C01DA9" w:rsidRDefault="00DB5C5A"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DB5C5A" w:rsidRPr="00203166" w:rsidTr="00B619EE">
        <w:trPr>
          <w:trHeight w:val="311"/>
        </w:trPr>
        <w:tc>
          <w:tcPr>
            <w:tcW w:w="8789" w:type="dxa"/>
            <w:vMerge/>
            <w:tcBorders>
              <w:bottom w:val="single" w:sz="4" w:space="0" w:color="auto"/>
            </w:tcBorders>
            <w:vAlign w:val="center"/>
          </w:tcPr>
          <w:p w:rsidR="00DB5C5A" w:rsidRPr="00C01DA9" w:rsidRDefault="00DB5C5A" w:rsidP="00B619EE">
            <w:pPr>
              <w:spacing w:after="0" w:line="240" w:lineRule="auto"/>
              <w:jc w:val="both"/>
              <w:rPr>
                <w:rFonts w:ascii="Times New Roman" w:hAnsi="Times New Roman"/>
                <w:sz w:val="18"/>
                <w:szCs w:val="18"/>
                <w:lang w:eastAsia="en-GB"/>
              </w:rPr>
            </w:pPr>
          </w:p>
        </w:tc>
      </w:tr>
    </w:tbl>
    <w:p w:rsidR="00DB5C5A" w:rsidRDefault="00DB5C5A" w:rsidP="00AF7456">
      <w:pPr>
        <w:pStyle w:val="ListParagraph"/>
        <w:spacing w:after="0" w:line="240" w:lineRule="auto"/>
        <w:ind w:left="1620"/>
        <w:jc w:val="both"/>
        <w:rPr>
          <w:rFonts w:ascii="Times New Roman" w:hAnsi="Times New Roman"/>
          <w:sz w:val="24"/>
          <w:szCs w:val="24"/>
        </w:rPr>
      </w:pPr>
    </w:p>
    <w:p w:rsidR="003C34B6" w:rsidRPr="00EC26AA" w:rsidRDefault="003C34B6" w:rsidP="00EC26AA">
      <w:pPr>
        <w:spacing w:after="0" w:line="240" w:lineRule="auto"/>
        <w:ind w:firstLine="567"/>
        <w:jc w:val="both"/>
        <w:rPr>
          <w:rFonts w:ascii="Times New Roman" w:hAnsi="Times New Roman"/>
          <w:color w:val="000000"/>
          <w:sz w:val="24"/>
          <w:szCs w:val="24"/>
        </w:rPr>
      </w:pPr>
      <w:r w:rsidRPr="00EC26AA">
        <w:rPr>
          <w:rFonts w:ascii="Times New Roman" w:hAnsi="Times New Roman"/>
          <w:b/>
          <w:i/>
          <w:sz w:val="24"/>
          <w:szCs w:val="24"/>
          <w:u w:val="single"/>
        </w:rPr>
        <w:t>Delegation</w:t>
      </w:r>
    </w:p>
    <w:p w:rsidR="003C34B6" w:rsidRPr="003B631F" w:rsidRDefault="003C34B6" w:rsidP="00130FCA">
      <w:pPr>
        <w:pStyle w:val="ListParagraph"/>
        <w:spacing w:after="0" w:line="240" w:lineRule="auto"/>
        <w:ind w:left="0" w:firstLine="720"/>
        <w:jc w:val="both"/>
        <w:rPr>
          <w:rFonts w:ascii="Times New Roman" w:hAnsi="Times New Roman"/>
          <w:color w:val="000000"/>
          <w:sz w:val="24"/>
          <w:szCs w:val="24"/>
        </w:rPr>
      </w:pPr>
    </w:p>
    <w:p w:rsidR="0000236B" w:rsidRDefault="00130FCA" w:rsidP="00DB5C5A">
      <w:pPr>
        <w:pStyle w:val="ListParagraph"/>
        <w:numPr>
          <w:ilvl w:val="0"/>
          <w:numId w:val="15"/>
        </w:numPr>
        <w:spacing w:after="0" w:line="240" w:lineRule="auto"/>
        <w:jc w:val="both"/>
        <w:rPr>
          <w:rFonts w:ascii="Times New Roman" w:hAnsi="Times New Roman"/>
          <w:sz w:val="24"/>
          <w:szCs w:val="24"/>
        </w:rPr>
      </w:pPr>
      <w:r w:rsidRPr="00C26701">
        <w:rPr>
          <w:rFonts w:ascii="Times New Roman" w:hAnsi="Times New Roman"/>
          <w:sz w:val="24"/>
          <w:szCs w:val="24"/>
        </w:rPr>
        <w:t xml:space="preserve">In case of delegation, </w:t>
      </w:r>
    </w:p>
    <w:p w:rsidR="0000236B" w:rsidRDefault="002550C7" w:rsidP="0000236B">
      <w:pPr>
        <w:pStyle w:val="ListParagraph"/>
        <w:spacing w:after="0" w:line="240" w:lineRule="auto"/>
        <w:ind w:left="900"/>
        <w:jc w:val="both"/>
        <w:rPr>
          <w:rFonts w:ascii="Times New Roman" w:hAnsi="Times New Roman"/>
          <w:sz w:val="24"/>
          <w:szCs w:val="24"/>
        </w:rPr>
      </w:pPr>
      <w:r>
        <w:rPr>
          <w:rFonts w:ascii="Times New Roman" w:hAnsi="Times New Roman"/>
          <w:sz w:val="24"/>
          <w:szCs w:val="24"/>
        </w:rPr>
        <w:t xml:space="preserve">(a) </w:t>
      </w:r>
      <w:proofErr w:type="gramStart"/>
      <w:r w:rsidR="0029600E">
        <w:rPr>
          <w:rFonts w:ascii="Times New Roman" w:hAnsi="Times New Roman"/>
          <w:sz w:val="24"/>
          <w:szCs w:val="24"/>
        </w:rPr>
        <w:t>indicate</w:t>
      </w:r>
      <w:proofErr w:type="gramEnd"/>
      <w:r w:rsidR="0029600E">
        <w:rPr>
          <w:rFonts w:ascii="Times New Roman" w:hAnsi="Times New Roman"/>
          <w:sz w:val="24"/>
          <w:szCs w:val="24"/>
        </w:rPr>
        <w:t xml:space="preserve"> whether the</w:t>
      </w:r>
      <w:r w:rsidR="00130FCA" w:rsidRPr="00C26701">
        <w:rPr>
          <w:rFonts w:ascii="Times New Roman" w:hAnsi="Times New Roman"/>
          <w:sz w:val="24"/>
          <w:szCs w:val="24"/>
        </w:rPr>
        <w:t xml:space="preserve"> delegate entities comply with remuneration requirements which are</w:t>
      </w:r>
      <w:r w:rsidR="003C34B6">
        <w:rPr>
          <w:rFonts w:ascii="Times New Roman" w:hAnsi="Times New Roman"/>
          <w:sz w:val="24"/>
          <w:szCs w:val="24"/>
        </w:rPr>
        <w:t xml:space="preserve"> ‘</w:t>
      </w:r>
      <w:r w:rsidR="00130FCA" w:rsidRPr="00C26701">
        <w:rPr>
          <w:rFonts w:ascii="Times New Roman" w:hAnsi="Times New Roman"/>
          <w:sz w:val="24"/>
          <w:szCs w:val="24"/>
        </w:rPr>
        <w:t>equally as effective</w:t>
      </w:r>
      <w:r w:rsidR="003C34B6">
        <w:rPr>
          <w:rFonts w:ascii="Times New Roman" w:hAnsi="Times New Roman"/>
          <w:sz w:val="24"/>
          <w:szCs w:val="24"/>
        </w:rPr>
        <w:t>’</w:t>
      </w:r>
      <w:r w:rsidR="00130FCA" w:rsidRPr="00C26701">
        <w:rPr>
          <w:rFonts w:ascii="Times New Roman" w:hAnsi="Times New Roman"/>
          <w:sz w:val="24"/>
          <w:szCs w:val="24"/>
        </w:rPr>
        <w:t xml:space="preserve"> as the AIFM rules</w:t>
      </w:r>
      <w:r w:rsidR="0036742E">
        <w:rPr>
          <w:rFonts w:ascii="Times New Roman" w:hAnsi="Times New Roman"/>
          <w:sz w:val="24"/>
          <w:szCs w:val="24"/>
        </w:rPr>
        <w:t xml:space="preserve"> and Guidelines</w:t>
      </w:r>
      <w:r w:rsidR="0000236B">
        <w:rPr>
          <w:rFonts w:ascii="Times New Roman" w:hAnsi="Times New Roman"/>
          <w:sz w:val="24"/>
          <w:szCs w:val="24"/>
        </w:rPr>
        <w:t>;</w:t>
      </w:r>
      <w:r w:rsidR="0036742E">
        <w:rPr>
          <w:rFonts w:ascii="Times New Roman" w:hAnsi="Times New Roman"/>
          <w:sz w:val="24"/>
          <w:szCs w:val="24"/>
        </w:rPr>
        <w:t xml:space="preserve"> or</w:t>
      </w:r>
    </w:p>
    <w:p w:rsidR="0000236B" w:rsidRDefault="0000236B" w:rsidP="0000236B">
      <w:pPr>
        <w:pStyle w:val="ListParagraph"/>
        <w:spacing w:after="0" w:line="240" w:lineRule="auto"/>
        <w:ind w:left="900"/>
        <w:jc w:val="both"/>
        <w:rPr>
          <w:rFonts w:ascii="Times New Roman" w:hAnsi="Times New Roman"/>
          <w:sz w:val="24"/>
          <w:szCs w:val="24"/>
        </w:rPr>
      </w:pPr>
    </w:p>
    <w:p w:rsidR="00130FCA" w:rsidRPr="00C26701" w:rsidRDefault="00DB5C5A" w:rsidP="0000236B">
      <w:pPr>
        <w:pStyle w:val="ListParagraph"/>
        <w:spacing w:after="0" w:line="240" w:lineRule="auto"/>
        <w:ind w:left="900"/>
        <w:jc w:val="both"/>
        <w:rPr>
          <w:rStyle w:val="apple-converted-space"/>
          <w:rFonts w:ascii="Times New Roman" w:hAnsi="Times New Roman"/>
          <w:sz w:val="24"/>
          <w:szCs w:val="24"/>
        </w:rPr>
      </w:pPr>
      <w:r>
        <w:rPr>
          <w:rFonts w:ascii="Times New Roman" w:hAnsi="Times New Roman"/>
          <w:sz w:val="24"/>
          <w:szCs w:val="24"/>
        </w:rPr>
        <w:t>(</w:t>
      </w:r>
      <w:r w:rsidR="003C34B6">
        <w:rPr>
          <w:rFonts w:ascii="Times New Roman" w:hAnsi="Times New Roman"/>
          <w:sz w:val="24"/>
          <w:szCs w:val="24"/>
        </w:rPr>
        <w:t xml:space="preserve">b) </w:t>
      </w:r>
      <w:proofErr w:type="gramStart"/>
      <w:r w:rsidR="002550C7">
        <w:rPr>
          <w:rFonts w:ascii="Times New Roman" w:hAnsi="Times New Roman"/>
          <w:sz w:val="24"/>
          <w:szCs w:val="24"/>
        </w:rPr>
        <w:t>provide</w:t>
      </w:r>
      <w:proofErr w:type="gramEnd"/>
      <w:r w:rsidR="002550C7">
        <w:rPr>
          <w:rFonts w:ascii="Times New Roman" w:hAnsi="Times New Roman"/>
          <w:sz w:val="24"/>
          <w:szCs w:val="24"/>
        </w:rPr>
        <w:t xml:space="preserve"> </w:t>
      </w:r>
      <w:r w:rsidR="0000236B">
        <w:rPr>
          <w:rFonts w:ascii="Times New Roman" w:hAnsi="Times New Roman"/>
          <w:sz w:val="24"/>
          <w:szCs w:val="24"/>
        </w:rPr>
        <w:t xml:space="preserve">evidence </w:t>
      </w:r>
      <w:r w:rsidR="0036742E">
        <w:rPr>
          <w:rFonts w:ascii="Times New Roman" w:hAnsi="Times New Roman"/>
          <w:sz w:val="24"/>
          <w:szCs w:val="24"/>
        </w:rPr>
        <w:t xml:space="preserve">that </w:t>
      </w:r>
      <w:r w:rsidR="003C34B6">
        <w:rPr>
          <w:rFonts w:ascii="Times New Roman" w:hAnsi="Times New Roman"/>
          <w:sz w:val="24"/>
          <w:szCs w:val="24"/>
        </w:rPr>
        <w:t>‘</w:t>
      </w:r>
      <w:r w:rsidR="0036742E">
        <w:rPr>
          <w:rFonts w:ascii="Times New Roman" w:hAnsi="Times New Roman"/>
          <w:sz w:val="24"/>
          <w:szCs w:val="24"/>
        </w:rPr>
        <w:t>appropriate contractual arrangements</w:t>
      </w:r>
      <w:r w:rsidR="003C34B6">
        <w:rPr>
          <w:rFonts w:ascii="Times New Roman" w:hAnsi="Times New Roman"/>
          <w:sz w:val="24"/>
          <w:szCs w:val="24"/>
        </w:rPr>
        <w:t>’</w:t>
      </w:r>
      <w:r w:rsidR="0036742E">
        <w:rPr>
          <w:rFonts w:ascii="Times New Roman" w:hAnsi="Times New Roman"/>
          <w:sz w:val="24"/>
          <w:szCs w:val="24"/>
        </w:rPr>
        <w:t xml:space="preserve"> are in place to ensure that there is no circumvention of the requirements of the Guidelines in relation to payment made to the delegates’ </w:t>
      </w:r>
      <w:r w:rsidR="003C34B6">
        <w:rPr>
          <w:rFonts w:ascii="Times New Roman" w:hAnsi="Times New Roman"/>
          <w:sz w:val="24"/>
          <w:szCs w:val="24"/>
        </w:rPr>
        <w:t>Identified</w:t>
      </w:r>
      <w:r w:rsidR="0036742E">
        <w:rPr>
          <w:rFonts w:ascii="Times New Roman" w:hAnsi="Times New Roman"/>
          <w:sz w:val="24"/>
          <w:szCs w:val="24"/>
        </w:rPr>
        <w:t xml:space="preserve"> Staff as compensation for the performance of </w:t>
      </w:r>
      <w:r w:rsidR="003C34B6">
        <w:rPr>
          <w:rFonts w:ascii="Times New Roman" w:hAnsi="Times New Roman"/>
          <w:sz w:val="24"/>
          <w:szCs w:val="24"/>
        </w:rPr>
        <w:t>portfolio</w:t>
      </w:r>
      <w:r w:rsidR="0036742E">
        <w:rPr>
          <w:rFonts w:ascii="Times New Roman" w:hAnsi="Times New Roman"/>
          <w:sz w:val="24"/>
          <w:szCs w:val="24"/>
        </w:rPr>
        <w:t xml:space="preserve"> or risk management activities on behalf of the AIFM</w:t>
      </w:r>
      <w:r w:rsidR="00DA36B7">
        <w:rPr>
          <w:rFonts w:ascii="Times New Roman" w:hAnsi="Times New Roman"/>
          <w:sz w:val="24"/>
          <w:szCs w:val="24"/>
        </w:rPr>
        <w:t>.</w:t>
      </w:r>
      <w:r w:rsidR="0036742E">
        <w:rPr>
          <w:rFonts w:ascii="Times New Roman" w:hAnsi="Times New Roman"/>
          <w:sz w:val="24"/>
          <w:szCs w:val="24"/>
        </w:rPr>
        <w:t xml:space="preserve"> </w:t>
      </w:r>
      <w:r w:rsidR="00130FCA" w:rsidRPr="00C26701">
        <w:rPr>
          <w:rStyle w:val="apple-converted-space"/>
          <w:rFonts w:ascii="Times New Roman" w:hAnsi="Times New Roman"/>
          <w:sz w:val="24"/>
          <w:szCs w:val="24"/>
        </w:rPr>
        <w:t> </w:t>
      </w: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F96B0A" w:rsidTr="00130FCA">
        <w:trPr>
          <w:trHeight w:val="276"/>
        </w:trPr>
        <w:tc>
          <w:tcPr>
            <w:tcW w:w="8789" w:type="dxa"/>
            <w:vMerge w:val="restart"/>
            <w:tcBorders>
              <w:top w:val="single" w:sz="8" w:space="0" w:color="auto"/>
            </w:tcBorders>
            <w:shd w:val="clear" w:color="000000" w:fill="FFFF00"/>
          </w:tcPr>
          <w:p w:rsidR="003C34B6" w:rsidRPr="00F96B0A" w:rsidRDefault="007B319D" w:rsidP="00130FCA">
            <w:pPr>
              <w:spacing w:after="0" w:line="240" w:lineRule="auto"/>
              <w:jc w:val="both"/>
              <w:rPr>
                <w:rFonts w:ascii="Times New Roman" w:hAnsi="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30FCA" w:rsidRDefault="00130FCA" w:rsidP="00130FCA">
            <w:pPr>
              <w:spacing w:after="0" w:line="240" w:lineRule="auto"/>
              <w:jc w:val="both"/>
              <w:rPr>
                <w:rFonts w:ascii="Times New Roman" w:hAnsi="Times New Roman"/>
                <w:sz w:val="24"/>
                <w:szCs w:val="24"/>
                <w:lang w:eastAsia="en-GB"/>
              </w:rPr>
            </w:pPr>
          </w:p>
          <w:p w:rsidR="007B319D" w:rsidRPr="00F96B0A" w:rsidRDefault="007B319D" w:rsidP="00130FCA">
            <w:pPr>
              <w:spacing w:after="0" w:line="240" w:lineRule="auto"/>
              <w:jc w:val="both"/>
              <w:rPr>
                <w:rFonts w:ascii="Times New Roman" w:hAnsi="Times New Roman"/>
                <w:sz w:val="24"/>
                <w:szCs w:val="24"/>
                <w:lang w:eastAsia="en-GB"/>
              </w:rPr>
            </w:pP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65665B" w:rsidRDefault="0065665B" w:rsidP="00130FCA">
      <w:pPr>
        <w:pStyle w:val="ListParagraph"/>
        <w:spacing w:after="0" w:line="240" w:lineRule="auto"/>
        <w:ind w:left="567"/>
        <w:jc w:val="both"/>
        <w:rPr>
          <w:rFonts w:ascii="Times New Roman" w:hAnsi="Times New Roman" w:cs="Times New Roman"/>
          <w:b/>
          <w:i/>
          <w:sz w:val="24"/>
          <w:szCs w:val="24"/>
          <w:u w:val="single"/>
        </w:rPr>
      </w:pPr>
    </w:p>
    <w:p w:rsidR="003C34B6" w:rsidRPr="00F96B0A" w:rsidRDefault="003C34B6" w:rsidP="00130FCA">
      <w:pPr>
        <w:pStyle w:val="ListParagraph"/>
        <w:spacing w:after="0" w:line="240" w:lineRule="auto"/>
        <w:ind w:left="567"/>
        <w:jc w:val="both"/>
        <w:rPr>
          <w:rFonts w:ascii="Times New Roman" w:hAnsi="Times New Roman" w:cs="Times New Roman"/>
          <w:b/>
          <w:i/>
          <w:sz w:val="24"/>
          <w:szCs w:val="24"/>
          <w:u w:val="single"/>
        </w:rPr>
      </w:pPr>
      <w:r w:rsidRPr="00F96B0A">
        <w:rPr>
          <w:rFonts w:ascii="Times New Roman" w:hAnsi="Times New Roman" w:cs="Times New Roman"/>
          <w:b/>
          <w:i/>
          <w:sz w:val="24"/>
          <w:szCs w:val="24"/>
          <w:u w:val="single"/>
        </w:rPr>
        <w:t xml:space="preserve">Transparency </w:t>
      </w:r>
      <w:r w:rsidR="00E43793">
        <w:rPr>
          <w:rFonts w:ascii="Times New Roman" w:hAnsi="Times New Roman" w:cs="Times New Roman"/>
          <w:b/>
          <w:i/>
          <w:sz w:val="24"/>
          <w:szCs w:val="24"/>
          <w:u w:val="single"/>
        </w:rPr>
        <w:t xml:space="preserve">and Disclosure Requirements </w:t>
      </w:r>
    </w:p>
    <w:p w:rsidR="003C34B6" w:rsidRPr="00F96B0A" w:rsidRDefault="003C34B6" w:rsidP="00130FCA">
      <w:pPr>
        <w:pStyle w:val="ListParagraph"/>
        <w:spacing w:after="0" w:line="240" w:lineRule="auto"/>
        <w:ind w:left="567"/>
        <w:jc w:val="both"/>
        <w:rPr>
          <w:rFonts w:ascii="Times New Roman" w:hAnsi="Times New Roman" w:cs="Times New Roman"/>
          <w:sz w:val="24"/>
          <w:szCs w:val="24"/>
        </w:rPr>
      </w:pPr>
    </w:p>
    <w:p w:rsidR="00977F3B" w:rsidRPr="00F96B0A" w:rsidRDefault="00E43793" w:rsidP="00DB5C5A">
      <w:pPr>
        <w:pStyle w:val="ListParagraph"/>
        <w:numPr>
          <w:ilvl w:val="0"/>
          <w:numId w:val="15"/>
        </w:numPr>
        <w:spacing w:after="0" w:line="240" w:lineRule="auto"/>
        <w:jc w:val="both"/>
        <w:rPr>
          <w:rFonts w:ascii="Times New Roman" w:hAnsi="Times New Roman" w:cs="Times New Roman"/>
          <w:color w:val="3E3D40"/>
          <w:sz w:val="24"/>
          <w:szCs w:val="24"/>
        </w:rPr>
      </w:pPr>
      <w:r>
        <w:rPr>
          <w:rFonts w:ascii="Times New Roman" w:hAnsi="Times New Roman" w:cs="Times New Roman"/>
          <w:color w:val="3E3D40"/>
          <w:sz w:val="24"/>
          <w:szCs w:val="24"/>
        </w:rPr>
        <w:t xml:space="preserve">Indicate </w:t>
      </w:r>
      <w:r w:rsidRPr="00E63E7D">
        <w:rPr>
          <w:rFonts w:ascii="Times New Roman" w:hAnsi="Times New Roman" w:cs="Times New Roman"/>
          <w:color w:val="3E3D40"/>
          <w:sz w:val="24"/>
          <w:szCs w:val="24"/>
        </w:rPr>
        <w:t xml:space="preserve">the </w:t>
      </w:r>
      <w:r w:rsidR="00B66071" w:rsidRPr="00E63E7D">
        <w:rPr>
          <w:rFonts w:ascii="Times New Roman" w:hAnsi="Times New Roman" w:cs="Times New Roman"/>
          <w:color w:val="3E3D40"/>
          <w:sz w:val="24"/>
          <w:szCs w:val="24"/>
        </w:rPr>
        <w:t xml:space="preserve">remuneration </w:t>
      </w:r>
      <w:r w:rsidRPr="00E63E7D">
        <w:rPr>
          <w:rFonts w:ascii="Times New Roman" w:hAnsi="Times New Roman" w:cs="Times New Roman"/>
          <w:color w:val="3E3D40"/>
          <w:sz w:val="24"/>
          <w:szCs w:val="24"/>
        </w:rPr>
        <w:t>disclosure arrangements</w:t>
      </w:r>
      <w:r>
        <w:rPr>
          <w:rFonts w:ascii="Times New Roman" w:hAnsi="Times New Roman" w:cs="Times New Roman"/>
          <w:color w:val="3E3D40"/>
          <w:sz w:val="24"/>
          <w:szCs w:val="24"/>
        </w:rPr>
        <w:t xml:space="preserve"> that the AIFM has in place</w:t>
      </w:r>
      <w:r w:rsidR="00DA36B7">
        <w:rPr>
          <w:rFonts w:ascii="Times New Roman" w:hAnsi="Times New Roman" w:cs="Times New Roman"/>
          <w:color w:val="3E3D40"/>
          <w:sz w:val="24"/>
          <w:szCs w:val="24"/>
        </w:rPr>
        <w:t>.</w:t>
      </w:r>
      <w:r>
        <w:rPr>
          <w:rFonts w:ascii="Times New Roman" w:hAnsi="Times New Roman" w:cs="Times New Roman"/>
          <w:color w:val="3E3D40"/>
          <w:sz w:val="24"/>
          <w:szCs w:val="24"/>
        </w:rPr>
        <w:t xml:space="preserve"> </w:t>
      </w:r>
    </w:p>
    <w:p w:rsidR="00E43793" w:rsidRDefault="00E43793" w:rsidP="00977F3B">
      <w:pPr>
        <w:pStyle w:val="ListParagraph"/>
        <w:spacing w:after="0" w:line="240" w:lineRule="auto"/>
        <w:ind w:left="567"/>
        <w:jc w:val="both"/>
        <w:rPr>
          <w:rFonts w:ascii="Times New Roman" w:hAnsi="Times New Roman" w:cs="Times New Roman"/>
          <w:color w:val="3E3D4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B66071" w:rsidRPr="00203166" w:rsidTr="00B619EE">
        <w:trPr>
          <w:trHeight w:val="207"/>
        </w:trPr>
        <w:tc>
          <w:tcPr>
            <w:tcW w:w="8789" w:type="dxa"/>
            <w:vMerge w:val="restart"/>
            <w:tcBorders>
              <w:top w:val="single" w:sz="8" w:space="0" w:color="auto"/>
            </w:tcBorders>
            <w:shd w:val="clear" w:color="000000" w:fill="FFFF00"/>
          </w:tcPr>
          <w:p w:rsidR="00453300" w:rsidRDefault="00B66071"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B66071" w:rsidRPr="00C01DA9" w:rsidRDefault="00B66071"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B66071" w:rsidRPr="00203166" w:rsidTr="00B619EE">
        <w:trPr>
          <w:trHeight w:val="311"/>
        </w:trPr>
        <w:tc>
          <w:tcPr>
            <w:tcW w:w="8789" w:type="dxa"/>
            <w:vMerge/>
            <w:tcBorders>
              <w:bottom w:val="single" w:sz="4" w:space="0" w:color="auto"/>
            </w:tcBorders>
            <w:vAlign w:val="center"/>
          </w:tcPr>
          <w:p w:rsidR="00B66071" w:rsidRPr="00C01DA9" w:rsidRDefault="00B66071" w:rsidP="00B619EE">
            <w:pPr>
              <w:spacing w:after="0" w:line="240" w:lineRule="auto"/>
              <w:jc w:val="both"/>
              <w:rPr>
                <w:rFonts w:ascii="Times New Roman" w:hAnsi="Times New Roman"/>
                <w:sz w:val="18"/>
                <w:szCs w:val="18"/>
                <w:lang w:eastAsia="en-GB"/>
              </w:rPr>
            </w:pPr>
          </w:p>
        </w:tc>
      </w:tr>
    </w:tbl>
    <w:p w:rsidR="00E43793" w:rsidRDefault="00E43793" w:rsidP="00977F3B">
      <w:pPr>
        <w:pStyle w:val="ListParagraph"/>
        <w:spacing w:after="0" w:line="240" w:lineRule="auto"/>
        <w:ind w:left="567"/>
        <w:jc w:val="both"/>
        <w:rPr>
          <w:rFonts w:ascii="Times New Roman" w:hAnsi="Times New Roman" w:cs="Times New Roman"/>
          <w:color w:val="3E3D40"/>
          <w:sz w:val="24"/>
          <w:szCs w:val="24"/>
        </w:rPr>
      </w:pPr>
    </w:p>
    <w:p w:rsidR="00603641" w:rsidRPr="00F96B0A" w:rsidRDefault="00E43793" w:rsidP="008F1AE3">
      <w:pPr>
        <w:pStyle w:val="ListParagraph"/>
        <w:spacing w:after="0" w:line="240"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Disapplication of </w:t>
      </w:r>
      <w:r w:rsidR="00B66071">
        <w:rPr>
          <w:rFonts w:ascii="Times New Roman" w:hAnsi="Times New Roman" w:cs="Times New Roman"/>
          <w:b/>
          <w:i/>
          <w:sz w:val="24"/>
          <w:szCs w:val="24"/>
          <w:u w:val="single"/>
        </w:rPr>
        <w:t xml:space="preserve">certain </w:t>
      </w:r>
      <w:r>
        <w:rPr>
          <w:rFonts w:ascii="Times New Roman" w:hAnsi="Times New Roman" w:cs="Times New Roman"/>
          <w:b/>
          <w:i/>
          <w:sz w:val="24"/>
          <w:szCs w:val="24"/>
          <w:u w:val="single"/>
        </w:rPr>
        <w:t xml:space="preserve">Rules </w:t>
      </w:r>
    </w:p>
    <w:p w:rsidR="009A1E46" w:rsidRPr="00576205" w:rsidRDefault="009A1E46" w:rsidP="009A1E46">
      <w:pPr>
        <w:pStyle w:val="ListParagraph"/>
        <w:spacing w:after="0" w:line="240" w:lineRule="auto"/>
        <w:ind w:left="567"/>
        <w:jc w:val="both"/>
        <w:rPr>
          <w:rFonts w:ascii="Times New Roman" w:hAnsi="Times New Roman" w:cs="Times New Roman"/>
          <w:i/>
          <w:color w:val="808080" w:themeColor="background1" w:themeShade="80"/>
          <w:sz w:val="20"/>
          <w:szCs w:val="20"/>
        </w:rPr>
      </w:pPr>
    </w:p>
    <w:p w:rsidR="00F76F58" w:rsidRPr="00576205" w:rsidRDefault="009A1E46" w:rsidP="0065665B">
      <w:pPr>
        <w:pStyle w:val="ListParagraph"/>
        <w:spacing w:after="0" w:line="240" w:lineRule="auto"/>
        <w:ind w:left="567"/>
        <w:jc w:val="both"/>
        <w:rPr>
          <w:rFonts w:ascii="Times New Roman" w:hAnsi="Times New Roman" w:cs="Times New Roman"/>
          <w:i/>
          <w:color w:val="808080" w:themeColor="background1" w:themeShade="80"/>
          <w:sz w:val="20"/>
          <w:szCs w:val="20"/>
        </w:rPr>
      </w:pPr>
      <w:r w:rsidRPr="00576205">
        <w:rPr>
          <w:rFonts w:ascii="Times New Roman" w:hAnsi="Times New Roman" w:cs="Times New Roman"/>
          <w:i/>
          <w:color w:val="808080" w:themeColor="background1" w:themeShade="80"/>
          <w:sz w:val="20"/>
          <w:szCs w:val="20"/>
        </w:rPr>
        <w:t>The remuneration provisions in the Directive and the ESMA Guidelines on sound Remuneration Policies are subject to a proportionality principle such that AIFM</w:t>
      </w:r>
      <w:r w:rsidR="00D52183">
        <w:rPr>
          <w:rFonts w:ascii="Times New Roman" w:hAnsi="Times New Roman" w:cs="Times New Roman"/>
          <w:i/>
          <w:color w:val="808080" w:themeColor="background1" w:themeShade="80"/>
          <w:sz w:val="20"/>
          <w:szCs w:val="20"/>
        </w:rPr>
        <w:t>s</w:t>
      </w:r>
      <w:r w:rsidRPr="00576205">
        <w:rPr>
          <w:rFonts w:ascii="Times New Roman" w:hAnsi="Times New Roman" w:cs="Times New Roman"/>
          <w:i/>
          <w:color w:val="808080" w:themeColor="background1" w:themeShade="80"/>
          <w:sz w:val="20"/>
          <w:szCs w:val="20"/>
        </w:rPr>
        <w:t xml:space="preserve"> shall comply with the principles in a way and to the extent that is appropriate to their size and the size of the AIF they manage, their internal organisation and the nature, scope and complexity of their activities.</w:t>
      </w:r>
      <w:r w:rsidR="00706F31" w:rsidRPr="00576205">
        <w:rPr>
          <w:rFonts w:ascii="Times New Roman" w:hAnsi="Times New Roman" w:cs="Times New Roman"/>
          <w:i/>
          <w:color w:val="808080" w:themeColor="background1" w:themeShade="80"/>
          <w:sz w:val="20"/>
          <w:szCs w:val="20"/>
        </w:rPr>
        <w:t xml:space="preserve">  The Guidelines provide that taking a proportionate approach to compliance may in certain circumstances lead to certain of the Rules being disapplied</w:t>
      </w:r>
      <w:r w:rsidR="0065665B" w:rsidRPr="00576205">
        <w:rPr>
          <w:rFonts w:ascii="Times New Roman" w:hAnsi="Times New Roman" w:cs="Times New Roman"/>
          <w:i/>
          <w:color w:val="808080" w:themeColor="background1" w:themeShade="80"/>
          <w:sz w:val="20"/>
          <w:szCs w:val="20"/>
        </w:rPr>
        <w:t xml:space="preserve">. </w:t>
      </w:r>
      <w:r w:rsidR="00590C03">
        <w:rPr>
          <w:rFonts w:ascii="Times New Roman" w:hAnsi="Times New Roman" w:cs="Times New Roman"/>
          <w:i/>
          <w:color w:val="808080" w:themeColor="background1" w:themeShade="80"/>
          <w:sz w:val="20"/>
          <w:szCs w:val="20"/>
        </w:rPr>
        <w:t>However</w:t>
      </w:r>
      <w:r w:rsidR="002550C7">
        <w:rPr>
          <w:rFonts w:ascii="Times New Roman" w:hAnsi="Times New Roman" w:cs="Times New Roman"/>
          <w:i/>
          <w:color w:val="808080" w:themeColor="background1" w:themeShade="80"/>
          <w:sz w:val="20"/>
          <w:szCs w:val="20"/>
        </w:rPr>
        <w:t xml:space="preserve">, </w:t>
      </w:r>
      <w:r w:rsidR="002550C7" w:rsidRPr="00576205">
        <w:rPr>
          <w:rFonts w:ascii="Times New Roman" w:hAnsi="Times New Roman" w:cs="Times New Roman"/>
          <w:i/>
          <w:color w:val="808080" w:themeColor="background1" w:themeShade="80"/>
          <w:sz w:val="20"/>
          <w:szCs w:val="20"/>
        </w:rPr>
        <w:t>the</w:t>
      </w:r>
      <w:r w:rsidR="00F76F58" w:rsidRPr="00576205">
        <w:rPr>
          <w:rFonts w:ascii="Times New Roman" w:hAnsi="Times New Roman" w:cs="Times New Roman"/>
          <w:i/>
          <w:color w:val="808080" w:themeColor="background1" w:themeShade="80"/>
          <w:sz w:val="20"/>
          <w:szCs w:val="20"/>
        </w:rPr>
        <w:t xml:space="preserve"> Guidelines clarify </w:t>
      </w:r>
      <w:r w:rsidR="00706F31" w:rsidRPr="00576205">
        <w:rPr>
          <w:rFonts w:ascii="Times New Roman" w:hAnsi="Times New Roman" w:cs="Times New Roman"/>
          <w:i/>
          <w:color w:val="808080" w:themeColor="background1" w:themeShade="80"/>
          <w:sz w:val="20"/>
          <w:szCs w:val="20"/>
        </w:rPr>
        <w:t>that</w:t>
      </w:r>
      <w:r w:rsidR="00F76F58" w:rsidRPr="00576205">
        <w:rPr>
          <w:rFonts w:ascii="Times New Roman" w:hAnsi="Times New Roman" w:cs="Times New Roman"/>
          <w:i/>
          <w:color w:val="808080" w:themeColor="background1" w:themeShade="80"/>
          <w:sz w:val="20"/>
          <w:szCs w:val="20"/>
        </w:rPr>
        <w:t xml:space="preserve"> Rules where numerical criteria a</w:t>
      </w:r>
      <w:r w:rsidR="006D1BAA" w:rsidRPr="00576205">
        <w:rPr>
          <w:rFonts w:ascii="Times New Roman" w:hAnsi="Times New Roman" w:cs="Times New Roman"/>
          <w:i/>
          <w:color w:val="808080" w:themeColor="background1" w:themeShade="80"/>
          <w:sz w:val="20"/>
          <w:szCs w:val="20"/>
        </w:rPr>
        <w:t>pply may only be disapplied in their entirety</w:t>
      </w:r>
      <w:r w:rsidR="00590C03">
        <w:rPr>
          <w:rFonts w:ascii="Times New Roman" w:hAnsi="Times New Roman" w:cs="Times New Roman"/>
          <w:i/>
          <w:color w:val="808080" w:themeColor="background1" w:themeShade="80"/>
          <w:sz w:val="20"/>
          <w:szCs w:val="20"/>
        </w:rPr>
        <w:t xml:space="preserve"> and not partially.</w:t>
      </w:r>
      <w:r w:rsidR="006D1BAA" w:rsidRPr="00576205">
        <w:rPr>
          <w:rFonts w:ascii="Times New Roman" w:hAnsi="Times New Roman" w:cs="Times New Roman"/>
          <w:i/>
          <w:color w:val="808080" w:themeColor="background1" w:themeShade="80"/>
          <w:sz w:val="20"/>
          <w:szCs w:val="20"/>
        </w:rPr>
        <w:t xml:space="preserve"> </w:t>
      </w:r>
    </w:p>
    <w:p w:rsidR="00F76F58" w:rsidRPr="00576205" w:rsidRDefault="00F76F58" w:rsidP="008F1AE3">
      <w:pPr>
        <w:pStyle w:val="ListParagraph"/>
        <w:spacing w:after="0" w:line="240" w:lineRule="auto"/>
        <w:ind w:left="567"/>
        <w:jc w:val="both"/>
        <w:rPr>
          <w:rFonts w:ascii="Times New Roman" w:hAnsi="Times New Roman" w:cs="Times New Roman"/>
          <w:b/>
          <w:i/>
          <w:color w:val="808080" w:themeColor="background1" w:themeShade="80"/>
          <w:sz w:val="24"/>
          <w:szCs w:val="24"/>
          <w:u w:val="single"/>
        </w:rPr>
      </w:pPr>
    </w:p>
    <w:p w:rsidR="009A1E46" w:rsidRDefault="00590C08" w:rsidP="00DB5C5A">
      <w:pPr>
        <w:pStyle w:val="ListParagraph"/>
        <w:numPr>
          <w:ilvl w:val="0"/>
          <w:numId w:val="1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specify whether the AIFM intends to</w:t>
      </w:r>
      <w:r w:rsidR="00BC4B39">
        <w:rPr>
          <w:rFonts w:ascii="Times New Roman" w:hAnsi="Times New Roman" w:cs="Times New Roman"/>
          <w:color w:val="000000" w:themeColor="text1"/>
          <w:sz w:val="24"/>
          <w:szCs w:val="24"/>
        </w:rPr>
        <w:t xml:space="preserve"> disapply </w:t>
      </w:r>
      <w:r w:rsidR="00C506F1">
        <w:rPr>
          <w:rFonts w:ascii="Times New Roman" w:hAnsi="Times New Roman" w:cs="Times New Roman"/>
          <w:color w:val="000000" w:themeColor="text1"/>
          <w:sz w:val="24"/>
          <w:szCs w:val="24"/>
        </w:rPr>
        <w:t xml:space="preserve">any of the required Rules </w:t>
      </w:r>
      <w:r w:rsidR="00BC4B39">
        <w:rPr>
          <w:rFonts w:ascii="Times New Roman" w:hAnsi="Times New Roman" w:cs="Times New Roman"/>
          <w:color w:val="000000" w:themeColor="text1"/>
          <w:sz w:val="24"/>
          <w:szCs w:val="24"/>
        </w:rPr>
        <w:t xml:space="preserve">of the remuneration </w:t>
      </w:r>
      <w:r w:rsidR="00C506F1">
        <w:rPr>
          <w:rFonts w:ascii="Times New Roman" w:hAnsi="Times New Roman" w:cs="Times New Roman"/>
          <w:color w:val="000000" w:themeColor="text1"/>
          <w:sz w:val="24"/>
          <w:szCs w:val="24"/>
        </w:rPr>
        <w:t>policy structure</w:t>
      </w:r>
      <w:r w:rsidR="009A1E46">
        <w:rPr>
          <w:rFonts w:ascii="Times New Roman" w:hAnsi="Times New Roman" w:cs="Times New Roman"/>
          <w:color w:val="000000" w:themeColor="text1"/>
          <w:sz w:val="24"/>
          <w:szCs w:val="24"/>
        </w:rPr>
        <w:t xml:space="preserve"> and indicate which Rule</w:t>
      </w:r>
      <w:r w:rsidR="009B2C1B">
        <w:rPr>
          <w:rFonts w:ascii="Times New Roman" w:hAnsi="Times New Roman" w:cs="Times New Roman"/>
          <w:color w:val="000000" w:themeColor="text1"/>
          <w:sz w:val="24"/>
          <w:szCs w:val="24"/>
        </w:rPr>
        <w:t>s</w:t>
      </w:r>
      <w:r w:rsidR="00E762D3">
        <w:rPr>
          <w:rFonts w:ascii="Times New Roman" w:hAnsi="Times New Roman" w:cs="Times New Roman"/>
          <w:color w:val="000000" w:themeColor="text1"/>
          <w:sz w:val="24"/>
          <w:szCs w:val="24"/>
        </w:rPr>
        <w:t xml:space="preserve"> are</w:t>
      </w:r>
      <w:r w:rsidR="009B2C1B">
        <w:rPr>
          <w:rFonts w:ascii="Times New Roman" w:hAnsi="Times New Roman" w:cs="Times New Roman"/>
          <w:color w:val="000000" w:themeColor="text1"/>
          <w:sz w:val="24"/>
          <w:szCs w:val="24"/>
        </w:rPr>
        <w:t xml:space="preserve"> intend</w:t>
      </w:r>
      <w:r w:rsidR="00E762D3">
        <w:rPr>
          <w:rFonts w:ascii="Times New Roman" w:hAnsi="Times New Roman" w:cs="Times New Roman"/>
          <w:color w:val="000000" w:themeColor="text1"/>
          <w:sz w:val="24"/>
          <w:szCs w:val="24"/>
        </w:rPr>
        <w:t>ed</w:t>
      </w:r>
      <w:r w:rsidR="009B2C1B">
        <w:rPr>
          <w:rFonts w:ascii="Times New Roman" w:hAnsi="Times New Roman" w:cs="Times New Roman"/>
          <w:color w:val="000000" w:themeColor="text1"/>
          <w:sz w:val="24"/>
          <w:szCs w:val="24"/>
        </w:rPr>
        <w:t xml:space="preserve"> to be disapplied</w:t>
      </w:r>
      <w:r w:rsidR="00E762D3">
        <w:rPr>
          <w:rFonts w:ascii="Times New Roman" w:hAnsi="Times New Roman" w:cs="Times New Roman"/>
          <w:color w:val="000000" w:themeColor="text1"/>
          <w:sz w:val="24"/>
          <w:szCs w:val="24"/>
        </w:rPr>
        <w:t>,</w:t>
      </w:r>
      <w:r w:rsidR="009B2C1B">
        <w:rPr>
          <w:rFonts w:ascii="Times New Roman" w:hAnsi="Times New Roman" w:cs="Times New Roman"/>
          <w:color w:val="000000" w:themeColor="text1"/>
          <w:sz w:val="24"/>
          <w:szCs w:val="24"/>
        </w:rPr>
        <w:t xml:space="preserve"> </w:t>
      </w:r>
      <w:r w:rsidR="00E762D3">
        <w:rPr>
          <w:rFonts w:ascii="Times New Roman" w:hAnsi="Times New Roman" w:cs="Times New Roman"/>
          <w:color w:val="000000" w:themeColor="text1"/>
          <w:sz w:val="24"/>
          <w:szCs w:val="24"/>
        </w:rPr>
        <w:t>including</w:t>
      </w:r>
      <w:r w:rsidR="009B2C1B">
        <w:rPr>
          <w:rFonts w:ascii="Times New Roman" w:hAnsi="Times New Roman" w:cs="Times New Roman"/>
          <w:color w:val="000000" w:themeColor="text1"/>
          <w:sz w:val="24"/>
          <w:szCs w:val="24"/>
        </w:rPr>
        <w:t xml:space="preserve"> details regarding how the proportionality assessment for each of the Rules was carried </w:t>
      </w:r>
      <w:r w:rsidR="00F76F58">
        <w:rPr>
          <w:rFonts w:ascii="Times New Roman" w:hAnsi="Times New Roman" w:cs="Times New Roman"/>
          <w:color w:val="000000" w:themeColor="text1"/>
          <w:sz w:val="24"/>
          <w:szCs w:val="24"/>
        </w:rPr>
        <w:t>out</w:t>
      </w:r>
      <w:r w:rsidR="00DA36B7">
        <w:rPr>
          <w:rFonts w:ascii="Times New Roman" w:hAnsi="Times New Roman" w:cs="Times New Roman"/>
          <w:color w:val="000000" w:themeColor="text1"/>
          <w:sz w:val="24"/>
          <w:szCs w:val="24"/>
        </w:rPr>
        <w:t>.</w:t>
      </w:r>
    </w:p>
    <w:p w:rsidR="0068473A" w:rsidRDefault="0068473A" w:rsidP="0068473A">
      <w:pPr>
        <w:pStyle w:val="ListParagraph"/>
        <w:spacing w:after="0" w:line="240" w:lineRule="auto"/>
        <w:ind w:left="900"/>
        <w:jc w:val="both"/>
        <w:rPr>
          <w:rFonts w:ascii="Times New Roman" w:hAnsi="Times New Roman" w:cs="Times New Roman"/>
          <w:color w:val="000000" w:themeColor="text1"/>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C506F1" w:rsidRPr="00203166" w:rsidTr="00B619EE">
        <w:trPr>
          <w:trHeight w:val="207"/>
        </w:trPr>
        <w:tc>
          <w:tcPr>
            <w:tcW w:w="8789" w:type="dxa"/>
            <w:vMerge w:val="restart"/>
            <w:tcBorders>
              <w:top w:val="single" w:sz="8" w:space="0" w:color="auto"/>
            </w:tcBorders>
            <w:shd w:val="clear" w:color="000000" w:fill="FFFF00"/>
          </w:tcPr>
          <w:p w:rsidR="00C506F1" w:rsidRDefault="00C506F1" w:rsidP="00B619EE">
            <w:pPr>
              <w:spacing w:after="0" w:line="240" w:lineRule="auto"/>
              <w:jc w:val="both"/>
              <w:rPr>
                <w:rFonts w:ascii="Arial" w:hAnsi="Arial"/>
                <w:szCs w:val="24"/>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68473A" w:rsidRDefault="0068473A" w:rsidP="00B619EE">
            <w:pPr>
              <w:spacing w:after="0" w:line="240" w:lineRule="auto"/>
              <w:jc w:val="both"/>
              <w:rPr>
                <w:rFonts w:ascii="Arial" w:hAnsi="Arial"/>
                <w:szCs w:val="24"/>
              </w:rPr>
            </w:pPr>
          </w:p>
          <w:p w:rsidR="0068473A" w:rsidRPr="008E31CE"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C506F1" w:rsidRPr="00C01DA9" w:rsidRDefault="00C506F1"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C506F1" w:rsidRPr="00203166" w:rsidTr="00B619EE">
        <w:trPr>
          <w:trHeight w:val="311"/>
        </w:trPr>
        <w:tc>
          <w:tcPr>
            <w:tcW w:w="8789" w:type="dxa"/>
            <w:vMerge/>
            <w:tcBorders>
              <w:bottom w:val="single" w:sz="4" w:space="0" w:color="auto"/>
            </w:tcBorders>
            <w:vAlign w:val="center"/>
          </w:tcPr>
          <w:p w:rsidR="00C506F1" w:rsidRPr="00C01DA9" w:rsidRDefault="00C506F1" w:rsidP="00B619EE">
            <w:pPr>
              <w:spacing w:after="0" w:line="240" w:lineRule="auto"/>
              <w:jc w:val="both"/>
              <w:rPr>
                <w:rFonts w:ascii="Times New Roman" w:hAnsi="Times New Roman"/>
                <w:sz w:val="18"/>
                <w:szCs w:val="18"/>
                <w:lang w:eastAsia="en-GB"/>
              </w:rPr>
            </w:pPr>
          </w:p>
        </w:tc>
      </w:tr>
    </w:tbl>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9E5AA2" w:rsidRDefault="00BF7C7E" w:rsidP="009E5AA2">
      <w:pPr>
        <w:spacing w:line="240" w:lineRule="auto"/>
        <w:ind w:left="142"/>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9E5AA2" w:rsidRPr="007F7A79">
        <w:rPr>
          <w:rFonts w:ascii="Times New Roman" w:hAnsi="Times New Roman" w:cs="Times New Roman"/>
          <w:b/>
          <w:bCs/>
          <w:sz w:val="26"/>
          <w:szCs w:val="26"/>
        </w:rPr>
        <w:t xml:space="preserve">ection </w:t>
      </w:r>
      <w:r w:rsidR="009E5AA2">
        <w:rPr>
          <w:rFonts w:ascii="Times New Roman" w:hAnsi="Times New Roman" w:cs="Times New Roman"/>
          <w:b/>
          <w:bCs/>
          <w:sz w:val="26"/>
          <w:szCs w:val="26"/>
        </w:rPr>
        <w:t>6</w:t>
      </w:r>
      <w:r w:rsidR="009E5AA2" w:rsidRPr="007F7A79">
        <w:rPr>
          <w:rFonts w:ascii="Times New Roman" w:hAnsi="Times New Roman" w:cs="Times New Roman"/>
          <w:b/>
          <w:bCs/>
          <w:sz w:val="26"/>
          <w:szCs w:val="26"/>
        </w:rPr>
        <w:t xml:space="preserve">: </w:t>
      </w:r>
      <w:r w:rsidR="009E5AA2">
        <w:rPr>
          <w:rFonts w:ascii="Times New Roman" w:hAnsi="Times New Roman" w:cs="Times New Roman"/>
          <w:b/>
          <w:bCs/>
          <w:sz w:val="26"/>
          <w:szCs w:val="26"/>
        </w:rPr>
        <w:t>Conflict</w:t>
      </w:r>
      <w:r w:rsidR="00DA36B7">
        <w:rPr>
          <w:rFonts w:ascii="Times New Roman" w:hAnsi="Times New Roman" w:cs="Times New Roman"/>
          <w:b/>
          <w:bCs/>
          <w:sz w:val="26"/>
          <w:szCs w:val="26"/>
        </w:rPr>
        <w:t>s</w:t>
      </w:r>
      <w:r w:rsidR="009E5AA2">
        <w:rPr>
          <w:rFonts w:ascii="Times New Roman" w:hAnsi="Times New Roman" w:cs="Times New Roman"/>
          <w:b/>
          <w:bCs/>
          <w:sz w:val="26"/>
          <w:szCs w:val="26"/>
        </w:rPr>
        <w:t xml:space="preserve"> of Interest </w:t>
      </w:r>
    </w:p>
    <w:p w:rsidR="00A94207" w:rsidRPr="00FE6778" w:rsidRDefault="00394ED5" w:rsidP="0008669A">
      <w:pPr>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deals with conflict</w:t>
      </w:r>
      <w:r w:rsidR="00DA36B7" w:rsidRPr="00FE6778">
        <w:rPr>
          <w:rFonts w:ascii="Times New Roman" w:hAnsi="Times New Roman" w:cs="Times New Roman"/>
          <w:i/>
          <w:color w:val="808080" w:themeColor="background1" w:themeShade="80"/>
        </w:rPr>
        <w:t>s</w:t>
      </w:r>
      <w:r w:rsidRPr="00FE6778">
        <w:rPr>
          <w:rFonts w:ascii="Times New Roman" w:hAnsi="Times New Roman" w:cs="Times New Roman"/>
          <w:i/>
          <w:color w:val="808080" w:themeColor="background1" w:themeShade="80"/>
        </w:rPr>
        <w:t xml:space="preserve"> of interest in accordance with </w:t>
      </w:r>
      <w:r w:rsidR="00A94207" w:rsidRPr="00FE6778">
        <w:rPr>
          <w:rFonts w:ascii="Times New Roman" w:hAnsi="Times New Roman" w:cs="Times New Roman"/>
          <w:i/>
          <w:color w:val="808080" w:themeColor="background1" w:themeShade="80"/>
        </w:rPr>
        <w:t>A</w:t>
      </w:r>
      <w:r w:rsidRPr="00FE6778">
        <w:rPr>
          <w:rFonts w:ascii="Times New Roman" w:hAnsi="Times New Roman" w:cs="Times New Roman"/>
          <w:i/>
          <w:color w:val="808080" w:themeColor="background1" w:themeShade="80"/>
        </w:rPr>
        <w:t>rticle</w:t>
      </w:r>
      <w:r w:rsidR="00A94207" w:rsidRPr="00FE6778">
        <w:rPr>
          <w:rFonts w:ascii="Times New Roman" w:hAnsi="Times New Roman" w:cs="Times New Roman"/>
          <w:i/>
          <w:color w:val="808080" w:themeColor="background1" w:themeShade="80"/>
        </w:rPr>
        <w:t>s</w:t>
      </w:r>
      <w:r w:rsidRPr="00FE6778">
        <w:rPr>
          <w:rFonts w:ascii="Times New Roman" w:hAnsi="Times New Roman" w:cs="Times New Roman"/>
          <w:i/>
          <w:color w:val="808080" w:themeColor="background1" w:themeShade="80"/>
        </w:rPr>
        <w:t xml:space="preserve"> 12 and 14 of the Directive and Chapter III Section 2 of the </w:t>
      </w:r>
      <w:r w:rsidR="0024465F">
        <w:rPr>
          <w:rFonts w:ascii="Times New Roman" w:hAnsi="Times New Roman" w:cs="Times New Roman"/>
          <w:i/>
          <w:color w:val="808080" w:themeColor="background1" w:themeShade="80"/>
        </w:rPr>
        <w:t xml:space="preserve">Commission Delegated </w:t>
      </w:r>
      <w:r w:rsidRPr="00FE6778">
        <w:rPr>
          <w:rFonts w:ascii="Times New Roman" w:hAnsi="Times New Roman" w:cs="Times New Roman"/>
          <w:i/>
          <w:color w:val="808080" w:themeColor="background1" w:themeShade="80"/>
        </w:rPr>
        <w:t>Regulation.</w:t>
      </w:r>
      <w:r w:rsidR="0008669A" w:rsidRPr="00FE6778">
        <w:rPr>
          <w:rFonts w:ascii="Times New Roman" w:hAnsi="Times New Roman" w:cs="Times New Roman"/>
          <w:i/>
          <w:color w:val="808080" w:themeColor="background1" w:themeShade="80"/>
        </w:rPr>
        <w:t xml:space="preserve">  </w:t>
      </w:r>
    </w:p>
    <w:p w:rsidR="003E3A1C" w:rsidRPr="00FE6778" w:rsidRDefault="001322DE" w:rsidP="0008669A">
      <w:pPr>
        <w:ind w:left="720"/>
        <w:jc w:val="both"/>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This section </w:t>
      </w:r>
      <w:r w:rsidR="00200DEA">
        <w:rPr>
          <w:rFonts w:ascii="Times New Roman" w:hAnsi="Times New Roman" w:cs="Times New Roman"/>
          <w:i/>
          <w:color w:val="808080" w:themeColor="background1" w:themeShade="80"/>
        </w:rPr>
        <w:t xml:space="preserve">needs to </w:t>
      </w:r>
      <w:r>
        <w:rPr>
          <w:rFonts w:ascii="Times New Roman" w:hAnsi="Times New Roman" w:cs="Times New Roman"/>
          <w:i/>
          <w:color w:val="808080" w:themeColor="background1" w:themeShade="80"/>
        </w:rPr>
        <w:t xml:space="preserve">be completed </w:t>
      </w:r>
      <w:r w:rsidR="00200DEA">
        <w:rPr>
          <w:rFonts w:ascii="Times New Roman" w:hAnsi="Times New Roman" w:cs="Times New Roman"/>
          <w:i/>
          <w:color w:val="808080" w:themeColor="background1" w:themeShade="80"/>
        </w:rPr>
        <w:t>only by i</w:t>
      </w:r>
      <w:r w:rsidR="003E3A1C" w:rsidRPr="00FE6778">
        <w:rPr>
          <w:rFonts w:ascii="Times New Roman" w:hAnsi="Times New Roman" w:cs="Times New Roman"/>
          <w:i/>
          <w:color w:val="808080" w:themeColor="background1" w:themeShade="80"/>
        </w:rPr>
        <w:t>nternally managed AIFs</w:t>
      </w:r>
      <w:r w:rsidR="00200DEA">
        <w:rPr>
          <w:rFonts w:ascii="Times New Roman" w:hAnsi="Times New Roman" w:cs="Times New Roman"/>
          <w:i/>
          <w:color w:val="808080" w:themeColor="background1" w:themeShade="80"/>
        </w:rPr>
        <w:t xml:space="preserve">.  </w:t>
      </w:r>
    </w:p>
    <w:p w:rsidR="007C7C4A" w:rsidRPr="00FE6778" w:rsidRDefault="007C7C4A" w:rsidP="0008669A">
      <w:pPr>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Further to the questions included in this section, AIFMs should also provide a declaration outlining that they have in place a conflict of interest policy which is in line with the requirements stipulated in Article 14 of the Directive and Article 31 of the Commission Delegated Regulation</w:t>
      </w:r>
      <w:r w:rsidR="004239EE" w:rsidRPr="00FE6778">
        <w:rPr>
          <w:rFonts w:ascii="Times New Roman" w:hAnsi="Times New Roman" w:cs="Times New Roman"/>
          <w:i/>
          <w:color w:val="808080" w:themeColor="background1" w:themeShade="80"/>
        </w:rPr>
        <w:t>.</w:t>
      </w:r>
    </w:p>
    <w:p w:rsidR="00C01E68" w:rsidRPr="00B3631C" w:rsidRDefault="00C01E68">
      <w:pPr>
        <w:pStyle w:val="ListParagraph"/>
        <w:numPr>
          <w:ilvl w:val="1"/>
          <w:numId w:val="14"/>
        </w:numPr>
        <w:spacing w:after="0" w:line="240" w:lineRule="auto"/>
        <w:ind w:left="709" w:hanging="567"/>
        <w:jc w:val="both"/>
        <w:rPr>
          <w:rFonts w:ascii="Times New Roman" w:hAnsi="Times New Roman" w:cs="Times New Roman"/>
          <w:color w:val="000000" w:themeColor="text1"/>
        </w:rPr>
      </w:pPr>
      <w:r w:rsidRPr="004239EE">
        <w:rPr>
          <w:rFonts w:ascii="Times New Roman" w:hAnsi="Times New Roman" w:cs="Times New Roman"/>
          <w:sz w:val="24"/>
          <w:szCs w:val="24"/>
        </w:rPr>
        <w:t>Indicate what arrangements are in place to identify, prevent, manage and monitor conflicts of interest</w:t>
      </w:r>
      <w:r w:rsidR="004239EE" w:rsidRPr="004239EE">
        <w:rPr>
          <w:rFonts w:ascii="Times New Roman" w:hAnsi="Times New Roman" w:cs="Times New Roman"/>
          <w:sz w:val="24"/>
          <w:szCs w:val="24"/>
        </w:rPr>
        <w:t>. In this regard, kindly also</w:t>
      </w:r>
      <w:r w:rsidRPr="004239EE">
        <w:rPr>
          <w:rFonts w:ascii="Times New Roman" w:hAnsi="Times New Roman" w:cs="Times New Roman"/>
          <w:sz w:val="24"/>
          <w:szCs w:val="24"/>
        </w:rPr>
        <w:t xml:space="preserve"> </w:t>
      </w:r>
      <w:r w:rsidR="004239EE" w:rsidRPr="004239EE">
        <w:rPr>
          <w:rFonts w:ascii="Times New Roman" w:hAnsi="Times New Roman" w:cs="Times New Roman"/>
          <w:sz w:val="24"/>
          <w:szCs w:val="24"/>
        </w:rPr>
        <w:t>outline</w:t>
      </w:r>
      <w:r w:rsidRPr="00B3631C">
        <w:rPr>
          <w:rFonts w:ascii="Times New Roman" w:hAnsi="Times New Roman" w:cs="Times New Roman"/>
          <w:sz w:val="24"/>
          <w:szCs w:val="24"/>
        </w:rPr>
        <w:t xml:space="preserve"> the organisational and administrative arrangements for managing and monitoring conflicts and for the segregation of operational tasks and responsibilities that may generate conflicts of interest.  </w:t>
      </w:r>
      <w:r w:rsidR="004239EE">
        <w:rPr>
          <w:rFonts w:ascii="Times New Roman" w:hAnsi="Times New Roman" w:cs="Times New Roman"/>
          <w:sz w:val="24"/>
          <w:szCs w:val="24"/>
        </w:rPr>
        <w:t xml:space="preserve"> </w:t>
      </w:r>
    </w:p>
    <w:p w:rsidR="00231836" w:rsidRPr="005B2FB4" w:rsidRDefault="00231836" w:rsidP="005B2FB4">
      <w:pPr>
        <w:pStyle w:val="ListParagraph"/>
        <w:spacing w:after="0" w:line="240" w:lineRule="auto"/>
        <w:ind w:left="786"/>
        <w:jc w:val="both"/>
        <w:rPr>
          <w:rFonts w:ascii="Times New Roman" w:hAnsi="Times New Roman" w:cs="Times New Roman"/>
          <w:color w:val="A6A6A6" w:themeColor="background1" w:themeShade="A6"/>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A94207" w:rsidRPr="00C01DA9" w:rsidTr="00A94207">
        <w:trPr>
          <w:trHeight w:val="207"/>
        </w:trPr>
        <w:tc>
          <w:tcPr>
            <w:tcW w:w="8647" w:type="dxa"/>
            <w:vMerge w:val="restart"/>
            <w:shd w:val="clear" w:color="000000" w:fill="FFFF00"/>
            <w:hideMark/>
          </w:tcPr>
          <w:p w:rsidR="00A94207" w:rsidRPr="008E31CE" w:rsidRDefault="00A94207" w:rsidP="001648E6">
            <w:pPr>
              <w:spacing w:after="0" w:line="240" w:lineRule="auto"/>
              <w:jc w:val="both"/>
              <w:rPr>
                <w:rFonts w:ascii="Times New Roman" w:eastAsia="Times New Roman" w:hAnsi="Times New Roman" w:cs="Times New Roman"/>
                <w:sz w:val="24"/>
                <w:szCs w:val="24"/>
                <w:lang w:eastAsia="en-GB"/>
              </w:rPr>
            </w:pPr>
          </w:p>
          <w:p w:rsidR="00A94207" w:rsidRPr="008E31CE" w:rsidRDefault="007B319D" w:rsidP="001648E6">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A94207" w:rsidRDefault="00A94207" w:rsidP="001648E6">
            <w:pPr>
              <w:spacing w:after="0" w:line="240" w:lineRule="auto"/>
              <w:jc w:val="both"/>
              <w:rPr>
                <w:rFonts w:ascii="Times New Roman" w:eastAsia="Times New Roman" w:hAnsi="Times New Roman" w:cs="Times New Roman"/>
                <w:sz w:val="24"/>
                <w:szCs w:val="24"/>
                <w:lang w:eastAsia="en-GB"/>
              </w:rPr>
            </w:pPr>
          </w:p>
          <w:p w:rsidR="007B319D" w:rsidRPr="00C01DA9" w:rsidRDefault="007B319D" w:rsidP="001648E6">
            <w:pPr>
              <w:spacing w:after="0" w:line="240" w:lineRule="auto"/>
              <w:jc w:val="both"/>
              <w:rPr>
                <w:rFonts w:ascii="Times New Roman" w:eastAsia="Times New Roman" w:hAnsi="Times New Roman" w:cs="Times New Roman"/>
                <w:sz w:val="18"/>
                <w:szCs w:val="18"/>
                <w:lang w:eastAsia="en-GB"/>
              </w:rPr>
            </w:pPr>
          </w:p>
        </w:tc>
      </w:tr>
      <w:tr w:rsidR="00A94207" w:rsidRPr="00C01DA9" w:rsidTr="00A94207">
        <w:trPr>
          <w:trHeight w:val="244"/>
        </w:trPr>
        <w:tc>
          <w:tcPr>
            <w:tcW w:w="8647" w:type="dxa"/>
            <w:vMerge/>
            <w:vAlign w:val="center"/>
            <w:hideMark/>
          </w:tcPr>
          <w:p w:rsidR="00A94207" w:rsidRPr="00C01DA9" w:rsidRDefault="00A94207" w:rsidP="001648E6">
            <w:pPr>
              <w:spacing w:after="0" w:line="240" w:lineRule="auto"/>
              <w:jc w:val="both"/>
              <w:rPr>
                <w:rFonts w:ascii="Times New Roman" w:eastAsia="Times New Roman" w:hAnsi="Times New Roman" w:cs="Times New Roman"/>
                <w:sz w:val="18"/>
                <w:szCs w:val="18"/>
                <w:lang w:eastAsia="en-GB"/>
              </w:rPr>
            </w:pPr>
          </w:p>
        </w:tc>
      </w:tr>
    </w:tbl>
    <w:p w:rsidR="00A94207" w:rsidRPr="005B2FB4" w:rsidRDefault="00A94207" w:rsidP="00A94207">
      <w:pPr>
        <w:pStyle w:val="ListParagraph"/>
        <w:rPr>
          <w:rFonts w:ascii="Times New Roman" w:hAnsi="Times New Roman" w:cs="Times New Roman"/>
          <w:b/>
          <w:i/>
          <w:sz w:val="24"/>
          <w:szCs w:val="24"/>
        </w:rPr>
      </w:pPr>
    </w:p>
    <w:p w:rsidR="000B0610" w:rsidRPr="000B0610" w:rsidRDefault="000B0610" w:rsidP="000339F8">
      <w:pPr>
        <w:pStyle w:val="ListParagraph"/>
        <w:numPr>
          <w:ilvl w:val="1"/>
          <w:numId w:val="14"/>
        </w:numPr>
        <w:spacing w:after="0" w:line="240" w:lineRule="auto"/>
        <w:ind w:left="709" w:hanging="567"/>
        <w:jc w:val="both"/>
        <w:rPr>
          <w:rFonts w:ascii="Times New Roman" w:hAnsi="Times New Roman" w:cs="Times New Roman"/>
          <w:color w:val="000000" w:themeColor="text1"/>
        </w:rPr>
      </w:pPr>
      <w:r w:rsidRPr="000B0610">
        <w:rPr>
          <w:rFonts w:ascii="Times New Roman" w:hAnsi="Times New Roman" w:cs="Times New Roman"/>
          <w:sz w:val="24"/>
          <w:szCs w:val="24"/>
        </w:rPr>
        <w:t>In circumstances where arrangements may not prove to be sufficient to prevent the risk of damage to investors</w:t>
      </w:r>
      <w:r w:rsidR="00734981">
        <w:rPr>
          <w:rFonts w:ascii="Times New Roman" w:hAnsi="Times New Roman" w:cs="Times New Roman"/>
          <w:sz w:val="24"/>
          <w:szCs w:val="24"/>
        </w:rPr>
        <w:t>,</w:t>
      </w:r>
      <w:r w:rsidRPr="000B0610">
        <w:rPr>
          <w:rFonts w:ascii="Times New Roman" w:hAnsi="Times New Roman" w:cs="Times New Roman"/>
          <w:sz w:val="24"/>
          <w:szCs w:val="24"/>
        </w:rPr>
        <w:t xml:space="preserve"> </w:t>
      </w:r>
      <w:r w:rsidR="004239EE">
        <w:rPr>
          <w:rFonts w:ascii="Times New Roman" w:hAnsi="Times New Roman" w:cs="Times New Roman"/>
          <w:sz w:val="24"/>
          <w:szCs w:val="24"/>
        </w:rPr>
        <w:t xml:space="preserve">please describe where </w:t>
      </w:r>
      <w:r w:rsidRPr="004239EE">
        <w:rPr>
          <w:rFonts w:ascii="Times New Roman" w:hAnsi="Times New Roman" w:cs="Times New Roman"/>
          <w:sz w:val="24"/>
          <w:szCs w:val="24"/>
        </w:rPr>
        <w:t xml:space="preserve">the AIFM </w:t>
      </w:r>
      <w:r w:rsidR="004239EE" w:rsidRPr="00B3631C">
        <w:rPr>
          <w:rFonts w:ascii="Times New Roman" w:hAnsi="Times New Roman" w:cs="Times New Roman"/>
          <w:sz w:val="24"/>
          <w:szCs w:val="24"/>
        </w:rPr>
        <w:t>will be</w:t>
      </w:r>
      <w:r w:rsidRPr="004239EE">
        <w:rPr>
          <w:rFonts w:ascii="Times New Roman" w:hAnsi="Times New Roman" w:cs="Times New Roman"/>
          <w:sz w:val="24"/>
          <w:szCs w:val="24"/>
        </w:rPr>
        <w:t xml:space="preserve"> disclos</w:t>
      </w:r>
      <w:r w:rsidR="004239EE" w:rsidRPr="00B3631C">
        <w:rPr>
          <w:rFonts w:ascii="Times New Roman" w:hAnsi="Times New Roman" w:cs="Times New Roman"/>
          <w:sz w:val="24"/>
          <w:szCs w:val="24"/>
        </w:rPr>
        <w:t>ing</w:t>
      </w:r>
      <w:r w:rsidRPr="004239EE">
        <w:rPr>
          <w:rFonts w:ascii="Times New Roman" w:hAnsi="Times New Roman" w:cs="Times New Roman"/>
          <w:sz w:val="24"/>
          <w:szCs w:val="24"/>
        </w:rPr>
        <w:t xml:space="preserve"> possible sources</w:t>
      </w:r>
      <w:r w:rsidRPr="000B0610">
        <w:rPr>
          <w:rFonts w:ascii="Times New Roman" w:hAnsi="Times New Roman" w:cs="Times New Roman"/>
          <w:sz w:val="24"/>
          <w:szCs w:val="24"/>
        </w:rPr>
        <w:t xml:space="preserve"> of conflict</w:t>
      </w:r>
      <w:r w:rsidR="00DA36B7">
        <w:rPr>
          <w:rFonts w:ascii="Times New Roman" w:hAnsi="Times New Roman" w:cs="Times New Roman"/>
          <w:sz w:val="24"/>
          <w:szCs w:val="24"/>
        </w:rPr>
        <w:t>s</w:t>
      </w:r>
      <w:r w:rsidRPr="000B0610">
        <w:rPr>
          <w:rFonts w:ascii="Times New Roman" w:hAnsi="Times New Roman" w:cs="Times New Roman"/>
          <w:sz w:val="24"/>
          <w:szCs w:val="24"/>
        </w:rPr>
        <w:t xml:space="preserve"> of interests before undertaking business on behalf</w:t>
      </w:r>
      <w:r w:rsidR="007D474C">
        <w:rPr>
          <w:rFonts w:ascii="Times New Roman" w:hAnsi="Times New Roman" w:cs="Times New Roman"/>
          <w:sz w:val="24"/>
          <w:szCs w:val="24"/>
        </w:rPr>
        <w:t xml:space="preserve"> of investors</w:t>
      </w:r>
      <w:r w:rsidR="00DA36B7">
        <w:rPr>
          <w:rFonts w:ascii="Times New Roman" w:hAnsi="Times New Roman" w:cs="Times New Roman"/>
          <w:sz w:val="24"/>
          <w:szCs w:val="24"/>
        </w:rPr>
        <w:t xml:space="preserve">. </w:t>
      </w:r>
    </w:p>
    <w:p w:rsidR="000B0610" w:rsidRPr="000B0610" w:rsidRDefault="000B0610" w:rsidP="000B0610">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0B0610" w:rsidRPr="00C01DA9" w:rsidTr="001648E6">
        <w:trPr>
          <w:trHeight w:val="207"/>
        </w:trPr>
        <w:tc>
          <w:tcPr>
            <w:tcW w:w="8647" w:type="dxa"/>
            <w:vMerge w:val="restart"/>
            <w:shd w:val="clear" w:color="000000" w:fill="FFFF00"/>
            <w:hideMark/>
          </w:tcPr>
          <w:p w:rsidR="000B0610" w:rsidRPr="008E31CE" w:rsidRDefault="000B0610" w:rsidP="001648E6">
            <w:pPr>
              <w:spacing w:after="0" w:line="240" w:lineRule="auto"/>
              <w:jc w:val="both"/>
              <w:rPr>
                <w:rFonts w:ascii="Times New Roman" w:eastAsia="Times New Roman" w:hAnsi="Times New Roman" w:cs="Times New Roman"/>
                <w:sz w:val="24"/>
                <w:szCs w:val="24"/>
                <w:lang w:eastAsia="en-GB"/>
              </w:rPr>
            </w:pPr>
          </w:p>
          <w:p w:rsidR="000B0610" w:rsidRDefault="007B319D" w:rsidP="001648E6">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8E31CE" w:rsidRDefault="007B319D" w:rsidP="001648E6">
            <w:pPr>
              <w:spacing w:after="0" w:line="240" w:lineRule="auto"/>
              <w:jc w:val="both"/>
              <w:rPr>
                <w:rFonts w:ascii="Times New Roman" w:eastAsia="Times New Roman" w:hAnsi="Times New Roman" w:cs="Times New Roman"/>
                <w:sz w:val="24"/>
                <w:szCs w:val="24"/>
                <w:lang w:eastAsia="en-GB"/>
              </w:rPr>
            </w:pPr>
          </w:p>
          <w:p w:rsidR="000B0610" w:rsidRPr="00C01DA9" w:rsidRDefault="000B0610" w:rsidP="001648E6">
            <w:pPr>
              <w:spacing w:after="0" w:line="240" w:lineRule="auto"/>
              <w:jc w:val="both"/>
              <w:rPr>
                <w:rFonts w:ascii="Times New Roman" w:eastAsia="Times New Roman" w:hAnsi="Times New Roman" w:cs="Times New Roman"/>
                <w:sz w:val="18"/>
                <w:szCs w:val="18"/>
                <w:lang w:eastAsia="en-GB"/>
              </w:rPr>
            </w:pPr>
          </w:p>
        </w:tc>
      </w:tr>
      <w:tr w:rsidR="000B0610" w:rsidRPr="00C01DA9" w:rsidTr="001648E6">
        <w:trPr>
          <w:trHeight w:val="244"/>
        </w:trPr>
        <w:tc>
          <w:tcPr>
            <w:tcW w:w="8647" w:type="dxa"/>
            <w:vMerge/>
            <w:vAlign w:val="center"/>
            <w:hideMark/>
          </w:tcPr>
          <w:p w:rsidR="000B0610" w:rsidRPr="00C01DA9" w:rsidRDefault="000B0610" w:rsidP="001648E6">
            <w:pPr>
              <w:spacing w:after="0" w:line="240" w:lineRule="auto"/>
              <w:jc w:val="both"/>
              <w:rPr>
                <w:rFonts w:ascii="Times New Roman" w:eastAsia="Times New Roman" w:hAnsi="Times New Roman" w:cs="Times New Roman"/>
                <w:sz w:val="18"/>
                <w:szCs w:val="18"/>
                <w:lang w:eastAsia="en-GB"/>
              </w:rPr>
            </w:pPr>
          </w:p>
        </w:tc>
      </w:tr>
    </w:tbl>
    <w:p w:rsidR="009E5AA2" w:rsidRDefault="009E5AA2" w:rsidP="000B0610">
      <w:pPr>
        <w:pStyle w:val="ListParagraph"/>
        <w:spacing w:after="0" w:line="240" w:lineRule="auto"/>
        <w:ind w:left="709"/>
        <w:jc w:val="both"/>
        <w:rPr>
          <w:rFonts w:ascii="Times New Roman" w:hAnsi="Times New Roman" w:cs="Times New Roman"/>
          <w:color w:val="000000" w:themeColor="text1"/>
        </w:rPr>
      </w:pPr>
    </w:p>
    <w:p w:rsidR="00647F61" w:rsidRPr="000339F8" w:rsidRDefault="009B596D" w:rsidP="000339F8">
      <w:pPr>
        <w:pStyle w:val="ListParagraph"/>
        <w:numPr>
          <w:ilvl w:val="1"/>
          <w:numId w:val="14"/>
        </w:numPr>
        <w:spacing w:after="0" w:line="240" w:lineRule="auto"/>
        <w:ind w:left="709" w:hanging="567"/>
        <w:jc w:val="both"/>
        <w:rPr>
          <w:rFonts w:ascii="Times New Roman" w:hAnsi="Times New Roman" w:cs="Times New Roman"/>
          <w:color w:val="000000" w:themeColor="text1"/>
          <w:sz w:val="24"/>
          <w:szCs w:val="24"/>
        </w:rPr>
      </w:pPr>
      <w:r w:rsidRPr="000339F8">
        <w:rPr>
          <w:rFonts w:ascii="Times New Roman" w:hAnsi="Times New Roman" w:cs="Times New Roman"/>
          <w:color w:val="000000" w:themeColor="text1"/>
          <w:sz w:val="24"/>
          <w:szCs w:val="24"/>
        </w:rPr>
        <w:t>Indicate what arrangements are in place to identify, prevent, manage and monitor potential conflict of interest situations in relation to the activities of the delegates, sub-delegates, external valuer or counterparty</w:t>
      </w:r>
      <w:r w:rsidR="00DA36B7">
        <w:rPr>
          <w:rFonts w:ascii="Times New Roman" w:hAnsi="Times New Roman" w:cs="Times New Roman"/>
          <w:color w:val="000000" w:themeColor="text1"/>
          <w:sz w:val="24"/>
          <w:szCs w:val="24"/>
        </w:rPr>
        <w:t>.</w:t>
      </w:r>
      <w:r w:rsidRPr="000339F8">
        <w:rPr>
          <w:rFonts w:ascii="Times New Roman" w:hAnsi="Times New Roman" w:cs="Times New Roman"/>
          <w:color w:val="000000" w:themeColor="text1"/>
          <w:sz w:val="24"/>
          <w:szCs w:val="24"/>
        </w:rPr>
        <w:t xml:space="preserve"> </w:t>
      </w:r>
    </w:p>
    <w:p w:rsidR="00647F61" w:rsidRDefault="00647F61" w:rsidP="000B0610">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B596D" w:rsidRPr="00C01DA9" w:rsidTr="00B619EE">
        <w:trPr>
          <w:trHeight w:val="207"/>
        </w:trPr>
        <w:tc>
          <w:tcPr>
            <w:tcW w:w="8647" w:type="dxa"/>
            <w:vMerge w:val="restart"/>
            <w:shd w:val="clear" w:color="000000" w:fill="FFFF00"/>
            <w:hideMark/>
          </w:tcPr>
          <w:p w:rsidR="009B596D" w:rsidRDefault="009B596D" w:rsidP="00B619EE">
            <w:pPr>
              <w:spacing w:after="0" w:line="240" w:lineRule="auto"/>
              <w:jc w:val="both"/>
              <w:rPr>
                <w:rFonts w:ascii="Times New Roman" w:eastAsia="Times New Roman" w:hAnsi="Times New Roman" w:cs="Times New Roman"/>
                <w:sz w:val="24"/>
                <w:szCs w:val="24"/>
                <w:lang w:eastAsia="en-GB"/>
              </w:rPr>
            </w:pPr>
          </w:p>
          <w:p w:rsidR="007B319D" w:rsidRPr="008E31CE" w:rsidRDefault="007B319D" w:rsidP="00B619EE">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B596D" w:rsidRPr="008E31CE" w:rsidRDefault="009B596D" w:rsidP="00B619EE">
            <w:pPr>
              <w:spacing w:after="0" w:line="240" w:lineRule="auto"/>
              <w:jc w:val="both"/>
              <w:rPr>
                <w:rFonts w:ascii="Times New Roman" w:eastAsia="Times New Roman" w:hAnsi="Times New Roman" w:cs="Times New Roman"/>
                <w:sz w:val="24"/>
                <w:szCs w:val="24"/>
                <w:lang w:eastAsia="en-GB"/>
              </w:rPr>
            </w:pPr>
          </w:p>
          <w:p w:rsidR="009B596D" w:rsidRPr="00C01DA9" w:rsidRDefault="009B596D" w:rsidP="00B619EE">
            <w:pPr>
              <w:spacing w:after="0" w:line="240" w:lineRule="auto"/>
              <w:jc w:val="both"/>
              <w:rPr>
                <w:rFonts w:ascii="Times New Roman" w:eastAsia="Times New Roman" w:hAnsi="Times New Roman" w:cs="Times New Roman"/>
                <w:sz w:val="18"/>
                <w:szCs w:val="18"/>
                <w:lang w:eastAsia="en-GB"/>
              </w:rPr>
            </w:pPr>
          </w:p>
        </w:tc>
      </w:tr>
      <w:tr w:rsidR="009B596D" w:rsidRPr="00C01DA9" w:rsidTr="00B619EE">
        <w:trPr>
          <w:trHeight w:val="244"/>
        </w:trPr>
        <w:tc>
          <w:tcPr>
            <w:tcW w:w="8647" w:type="dxa"/>
            <w:vMerge/>
            <w:vAlign w:val="center"/>
            <w:hideMark/>
          </w:tcPr>
          <w:p w:rsidR="009B596D" w:rsidRPr="00C01DA9" w:rsidRDefault="009B596D" w:rsidP="00B619EE">
            <w:pPr>
              <w:spacing w:after="0" w:line="240" w:lineRule="auto"/>
              <w:jc w:val="both"/>
              <w:rPr>
                <w:rFonts w:ascii="Times New Roman" w:eastAsia="Times New Roman" w:hAnsi="Times New Roman" w:cs="Times New Roman"/>
                <w:sz w:val="18"/>
                <w:szCs w:val="18"/>
                <w:lang w:eastAsia="en-GB"/>
              </w:rPr>
            </w:pPr>
          </w:p>
        </w:tc>
      </w:tr>
    </w:tbl>
    <w:p w:rsidR="00647F61" w:rsidRDefault="00647F61" w:rsidP="000B0610">
      <w:pPr>
        <w:pStyle w:val="ListParagraph"/>
        <w:spacing w:after="0" w:line="240" w:lineRule="auto"/>
        <w:ind w:left="709"/>
        <w:jc w:val="both"/>
        <w:rPr>
          <w:rFonts w:ascii="Times New Roman" w:hAnsi="Times New Roman" w:cs="Times New Roman"/>
          <w:color w:val="000000" w:themeColor="text1"/>
        </w:rPr>
      </w:pPr>
    </w:p>
    <w:p w:rsidR="00647F61" w:rsidRDefault="00647F61" w:rsidP="000B0610">
      <w:pPr>
        <w:pStyle w:val="ListParagraph"/>
        <w:spacing w:after="0" w:line="240" w:lineRule="auto"/>
        <w:ind w:left="709"/>
        <w:jc w:val="both"/>
        <w:rPr>
          <w:rFonts w:ascii="Times New Roman" w:hAnsi="Times New Roman" w:cs="Times New Roman"/>
          <w:color w:val="000000" w:themeColor="text1"/>
        </w:rPr>
      </w:pPr>
    </w:p>
    <w:p w:rsidR="004239EE" w:rsidRDefault="004239EE">
      <w:pPr>
        <w:rPr>
          <w:rFonts w:ascii="Times New Roman" w:hAnsi="Times New Roman" w:cs="Times New Roman"/>
          <w:b/>
          <w:bCs/>
          <w:sz w:val="26"/>
          <w:szCs w:val="26"/>
        </w:rPr>
      </w:pPr>
      <w:r>
        <w:rPr>
          <w:rFonts w:ascii="Times New Roman" w:hAnsi="Times New Roman" w:cs="Times New Roman"/>
          <w:b/>
          <w:bCs/>
          <w:sz w:val="26"/>
          <w:szCs w:val="26"/>
        </w:rPr>
        <w:br w:type="page"/>
      </w:r>
    </w:p>
    <w:p w:rsidR="00C673D3" w:rsidRDefault="00C673D3" w:rsidP="00C673D3">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7:</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Risk </w:t>
      </w:r>
      <w:r w:rsidR="007D48FB">
        <w:rPr>
          <w:rFonts w:ascii="Times New Roman" w:hAnsi="Times New Roman" w:cs="Times New Roman"/>
          <w:b/>
          <w:bCs/>
          <w:sz w:val="26"/>
          <w:szCs w:val="26"/>
        </w:rPr>
        <w:t xml:space="preserve">and Liquidity </w:t>
      </w:r>
      <w:r>
        <w:rPr>
          <w:rFonts w:ascii="Times New Roman" w:hAnsi="Times New Roman" w:cs="Times New Roman"/>
          <w:b/>
          <w:bCs/>
          <w:sz w:val="26"/>
          <w:szCs w:val="26"/>
        </w:rPr>
        <w:t>Management</w:t>
      </w:r>
      <w:r w:rsidR="007D48FB">
        <w:rPr>
          <w:rFonts w:ascii="Times New Roman" w:hAnsi="Times New Roman" w:cs="Times New Roman"/>
          <w:b/>
          <w:bCs/>
          <w:sz w:val="26"/>
          <w:szCs w:val="26"/>
        </w:rPr>
        <w:t xml:space="preserve"> </w:t>
      </w:r>
    </w:p>
    <w:p w:rsidR="00220AF8" w:rsidRPr="00FE6778" w:rsidRDefault="00685B68" w:rsidP="002542B3">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This section deals with </w:t>
      </w:r>
      <w:r w:rsidR="003F5311" w:rsidRPr="00FE6778">
        <w:rPr>
          <w:rFonts w:ascii="Times New Roman" w:hAnsi="Times New Roman" w:cs="Times New Roman"/>
          <w:i/>
          <w:color w:val="808080" w:themeColor="background1" w:themeShade="80"/>
        </w:rPr>
        <w:t xml:space="preserve">the risk </w:t>
      </w:r>
      <w:r w:rsidR="00CD634D" w:rsidRPr="00FE6778">
        <w:rPr>
          <w:rFonts w:ascii="Times New Roman" w:hAnsi="Times New Roman" w:cs="Times New Roman"/>
          <w:i/>
          <w:color w:val="808080" w:themeColor="background1" w:themeShade="80"/>
        </w:rPr>
        <w:t xml:space="preserve">and liquidity </w:t>
      </w:r>
      <w:r w:rsidR="003F5311" w:rsidRPr="00FE6778">
        <w:rPr>
          <w:rFonts w:ascii="Times New Roman" w:hAnsi="Times New Roman" w:cs="Times New Roman"/>
          <w:i/>
          <w:color w:val="808080" w:themeColor="background1" w:themeShade="80"/>
        </w:rPr>
        <w:t xml:space="preserve">management policies and procedures of the </w:t>
      </w:r>
      <w:r w:rsidR="00D64549" w:rsidRPr="00FE6778">
        <w:rPr>
          <w:rFonts w:ascii="Times New Roman" w:hAnsi="Times New Roman" w:cs="Times New Roman"/>
          <w:i/>
          <w:color w:val="808080" w:themeColor="background1" w:themeShade="80"/>
        </w:rPr>
        <w:t>AIFM</w:t>
      </w:r>
      <w:r w:rsidR="003F5311" w:rsidRPr="00FE6778">
        <w:rPr>
          <w:rFonts w:ascii="Times New Roman" w:hAnsi="Times New Roman" w:cs="Times New Roman"/>
          <w:i/>
          <w:color w:val="808080" w:themeColor="background1" w:themeShade="80"/>
        </w:rPr>
        <w:t xml:space="preserve"> </w:t>
      </w:r>
      <w:r w:rsidRPr="00FE6778">
        <w:rPr>
          <w:rFonts w:ascii="Times New Roman" w:hAnsi="Times New Roman" w:cs="Times New Roman"/>
          <w:i/>
          <w:color w:val="808080" w:themeColor="background1" w:themeShade="80"/>
        </w:rPr>
        <w:t xml:space="preserve">in accordance with </w:t>
      </w:r>
      <w:r w:rsidR="004C5514" w:rsidRPr="00FE6778">
        <w:rPr>
          <w:rFonts w:ascii="Times New Roman" w:hAnsi="Times New Roman" w:cs="Times New Roman"/>
          <w:i/>
          <w:color w:val="808080" w:themeColor="background1" w:themeShade="80"/>
        </w:rPr>
        <w:t>A</w:t>
      </w:r>
      <w:r w:rsidRPr="00FE6778">
        <w:rPr>
          <w:rFonts w:ascii="Times New Roman" w:hAnsi="Times New Roman" w:cs="Times New Roman"/>
          <w:i/>
          <w:color w:val="808080" w:themeColor="background1" w:themeShade="80"/>
        </w:rPr>
        <w:t>rticle</w:t>
      </w:r>
      <w:r w:rsidR="00CD634D" w:rsidRPr="00FE6778">
        <w:rPr>
          <w:rFonts w:ascii="Times New Roman" w:hAnsi="Times New Roman" w:cs="Times New Roman"/>
          <w:i/>
          <w:color w:val="808080" w:themeColor="background1" w:themeShade="80"/>
        </w:rPr>
        <w:t>s</w:t>
      </w:r>
      <w:r w:rsidRPr="00FE6778">
        <w:rPr>
          <w:rFonts w:ascii="Times New Roman" w:hAnsi="Times New Roman" w:cs="Times New Roman"/>
          <w:i/>
          <w:color w:val="808080" w:themeColor="background1" w:themeShade="80"/>
        </w:rPr>
        <w:t xml:space="preserve"> </w:t>
      </w:r>
      <w:r w:rsidR="003F5311" w:rsidRPr="00FE6778">
        <w:rPr>
          <w:rFonts w:ascii="Times New Roman" w:hAnsi="Times New Roman" w:cs="Times New Roman"/>
          <w:i/>
          <w:color w:val="808080" w:themeColor="background1" w:themeShade="80"/>
        </w:rPr>
        <w:t>15</w:t>
      </w:r>
      <w:r w:rsidR="00CD634D" w:rsidRPr="00FE6778">
        <w:rPr>
          <w:rFonts w:ascii="Times New Roman" w:hAnsi="Times New Roman" w:cs="Times New Roman"/>
          <w:i/>
          <w:color w:val="808080" w:themeColor="background1" w:themeShade="80"/>
        </w:rPr>
        <w:t xml:space="preserve"> –16 o</w:t>
      </w:r>
      <w:r w:rsidRPr="00FE6778">
        <w:rPr>
          <w:rFonts w:ascii="Times New Roman" w:hAnsi="Times New Roman" w:cs="Times New Roman"/>
          <w:i/>
          <w:color w:val="808080" w:themeColor="background1" w:themeShade="80"/>
        </w:rPr>
        <w:t>f the Directive</w:t>
      </w:r>
      <w:r w:rsidR="00CD634D" w:rsidRPr="00FE6778">
        <w:rPr>
          <w:rFonts w:ascii="Times New Roman" w:hAnsi="Times New Roman" w:cs="Times New Roman"/>
          <w:i/>
          <w:color w:val="808080" w:themeColor="background1" w:themeShade="80"/>
        </w:rPr>
        <w:t xml:space="preserve"> (and </w:t>
      </w:r>
      <w:r w:rsidRPr="00FE6778">
        <w:rPr>
          <w:rFonts w:ascii="Times New Roman" w:hAnsi="Times New Roman" w:cs="Times New Roman"/>
          <w:i/>
          <w:color w:val="808080" w:themeColor="background1" w:themeShade="80"/>
        </w:rPr>
        <w:t xml:space="preserve">Chapter III of the </w:t>
      </w:r>
      <w:r w:rsidR="0024465F">
        <w:rPr>
          <w:rFonts w:ascii="Times New Roman" w:hAnsi="Times New Roman" w:cs="Times New Roman"/>
          <w:i/>
          <w:color w:val="808080" w:themeColor="background1" w:themeShade="80"/>
        </w:rPr>
        <w:t xml:space="preserve">Commission Delegated </w:t>
      </w:r>
      <w:r w:rsidR="00155040" w:rsidRPr="00FE6778">
        <w:rPr>
          <w:rFonts w:ascii="Times New Roman" w:hAnsi="Times New Roman" w:cs="Times New Roman"/>
          <w:i/>
          <w:color w:val="808080" w:themeColor="background1" w:themeShade="80"/>
        </w:rPr>
        <w:t>R</w:t>
      </w:r>
      <w:r w:rsidRPr="00FE6778">
        <w:rPr>
          <w:rFonts w:ascii="Times New Roman" w:hAnsi="Times New Roman" w:cs="Times New Roman"/>
          <w:i/>
          <w:color w:val="808080" w:themeColor="background1" w:themeShade="80"/>
        </w:rPr>
        <w:t>egulation</w:t>
      </w:r>
      <w:r w:rsidR="00CD634D" w:rsidRPr="00FE6778">
        <w:rPr>
          <w:rFonts w:ascii="Times New Roman" w:hAnsi="Times New Roman" w:cs="Times New Roman"/>
          <w:i/>
          <w:color w:val="808080" w:themeColor="background1" w:themeShade="80"/>
        </w:rPr>
        <w:t>)</w:t>
      </w:r>
      <w:r w:rsidRPr="00FE6778">
        <w:rPr>
          <w:rFonts w:ascii="Times New Roman" w:hAnsi="Times New Roman" w:cs="Times New Roman"/>
          <w:i/>
          <w:color w:val="808080" w:themeColor="background1" w:themeShade="80"/>
        </w:rPr>
        <w:t>.</w:t>
      </w:r>
    </w:p>
    <w:p w:rsidR="00D64549" w:rsidRPr="00FE6778" w:rsidRDefault="00D64549" w:rsidP="00D64549">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needs to be completed by internally managed AIFs and Fund Managers</w:t>
      </w:r>
      <w:r w:rsidR="006B7C3D" w:rsidRPr="00FE6778">
        <w:rPr>
          <w:rFonts w:ascii="Times New Roman" w:hAnsi="Times New Roman" w:cs="Times New Roman"/>
          <w:i/>
          <w:color w:val="808080" w:themeColor="background1" w:themeShade="80"/>
        </w:rPr>
        <w:t xml:space="preserve"> (excluding UCITS Management Companies</w:t>
      </w:r>
      <w:r w:rsidR="00EC1F3D">
        <w:rPr>
          <w:rFonts w:ascii="Times New Roman" w:hAnsi="Times New Roman" w:cs="Times New Roman"/>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6B7C3D" w:rsidRPr="00FE6778">
        <w:rPr>
          <w:rFonts w:ascii="Times New Roman" w:hAnsi="Times New Roman" w:cs="Times New Roman"/>
          <w:i/>
          <w:color w:val="808080" w:themeColor="background1" w:themeShade="80"/>
        </w:rPr>
        <w:t>)</w:t>
      </w:r>
      <w:r w:rsidR="002F140D" w:rsidRPr="00FE6778">
        <w:rPr>
          <w:rFonts w:ascii="Times New Roman" w:hAnsi="Times New Roman" w:cs="Times New Roman"/>
          <w:i/>
          <w:color w:val="808080" w:themeColor="background1" w:themeShade="80"/>
        </w:rPr>
        <w:t xml:space="preserve">. </w:t>
      </w:r>
      <w:r w:rsidR="006B7C3D" w:rsidRPr="00FE6778">
        <w:rPr>
          <w:rFonts w:ascii="Times New Roman" w:hAnsi="Times New Roman" w:cs="Times New Roman"/>
          <w:i/>
          <w:color w:val="808080" w:themeColor="background1" w:themeShade="80"/>
        </w:rPr>
        <w:t xml:space="preserve"> </w:t>
      </w:r>
    </w:p>
    <w:p w:rsidR="000F0C87" w:rsidRPr="00FE6778" w:rsidRDefault="000F0C87" w:rsidP="00D64549">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The Risk Management Policy document outlined in Q.7.</w:t>
      </w:r>
      <w:r w:rsidR="00DA36B7" w:rsidRPr="00FE6778">
        <w:rPr>
          <w:rFonts w:ascii="Times New Roman" w:hAnsi="Times New Roman" w:cs="Times New Roman"/>
          <w:i/>
          <w:color w:val="808080" w:themeColor="background1" w:themeShade="80"/>
        </w:rPr>
        <w:t>4</w:t>
      </w:r>
      <w:r w:rsidRPr="00FE6778">
        <w:rPr>
          <w:rFonts w:ascii="Times New Roman" w:hAnsi="Times New Roman" w:cs="Times New Roman"/>
          <w:i/>
          <w:color w:val="808080" w:themeColor="background1" w:themeShade="80"/>
        </w:rPr>
        <w:t xml:space="preserve"> needs to be submitted by internally managed AIFs and Fund Managers (excluding UCITS Management Companies).  </w:t>
      </w:r>
    </w:p>
    <w:p w:rsidR="004100CD" w:rsidRDefault="004100CD" w:rsidP="00B3631C">
      <w:pPr>
        <w:pStyle w:val="ListParagraph"/>
        <w:spacing w:after="0" w:line="240" w:lineRule="auto"/>
        <w:ind w:left="786"/>
        <w:jc w:val="both"/>
        <w:rPr>
          <w:rFonts w:ascii="Times New Roman" w:hAnsi="Times New Roman" w:cs="Times New Roman"/>
          <w:color w:val="000000" w:themeColor="text1"/>
        </w:rPr>
      </w:pPr>
    </w:p>
    <w:p w:rsidR="001C28BD" w:rsidRPr="001C28BD" w:rsidRDefault="001C28BD" w:rsidP="00D64549">
      <w:pPr>
        <w:spacing w:line="240" w:lineRule="auto"/>
        <w:ind w:left="720"/>
        <w:jc w:val="both"/>
        <w:rPr>
          <w:rFonts w:ascii="Times New Roman" w:hAnsi="Times New Roman" w:cs="Times New Roman"/>
          <w:b/>
          <w:i/>
          <w:sz w:val="24"/>
          <w:szCs w:val="24"/>
          <w:u w:val="single"/>
        </w:rPr>
      </w:pPr>
      <w:r w:rsidRPr="001C28BD">
        <w:rPr>
          <w:rFonts w:ascii="Times New Roman" w:hAnsi="Times New Roman" w:cs="Times New Roman"/>
          <w:b/>
          <w:i/>
          <w:sz w:val="24"/>
          <w:szCs w:val="24"/>
          <w:u w:val="single"/>
        </w:rPr>
        <w:t xml:space="preserve">Permanent Risk Management Function </w:t>
      </w:r>
    </w:p>
    <w:p w:rsidR="006A50F1" w:rsidRPr="006A50F1" w:rsidRDefault="00C673D3" w:rsidP="000339F8">
      <w:pPr>
        <w:pStyle w:val="ListParagraph"/>
        <w:numPr>
          <w:ilvl w:val="1"/>
          <w:numId w:val="18"/>
        </w:numPr>
        <w:spacing w:after="0" w:line="240" w:lineRule="auto"/>
        <w:ind w:hanging="644"/>
        <w:jc w:val="both"/>
        <w:rPr>
          <w:rFonts w:ascii="Times New Roman" w:hAnsi="Times New Roman" w:cs="Times New Roman"/>
          <w:color w:val="000000" w:themeColor="text1"/>
        </w:rPr>
      </w:pPr>
      <w:r>
        <w:rPr>
          <w:rFonts w:ascii="Times New Roman" w:hAnsi="Times New Roman" w:cs="Times New Roman"/>
          <w:color w:val="000000" w:themeColor="text1"/>
        </w:rPr>
        <w:t xml:space="preserve">Describe </w:t>
      </w:r>
      <w:r w:rsidRPr="00C673D3">
        <w:rPr>
          <w:rFonts w:ascii="Times New Roman" w:hAnsi="Times New Roman" w:cs="Times New Roman"/>
          <w:sz w:val="24"/>
          <w:szCs w:val="24"/>
        </w:rPr>
        <w:t xml:space="preserve">the independent permanent risk management function </w:t>
      </w:r>
      <w:r w:rsidR="001C28BD">
        <w:rPr>
          <w:rFonts w:ascii="Times New Roman" w:hAnsi="Times New Roman" w:cs="Times New Roman"/>
          <w:sz w:val="24"/>
          <w:szCs w:val="24"/>
        </w:rPr>
        <w:t>o</w:t>
      </w:r>
      <w:r w:rsidR="002D66B7">
        <w:rPr>
          <w:rFonts w:ascii="Times New Roman" w:hAnsi="Times New Roman" w:cs="Times New Roman"/>
          <w:sz w:val="24"/>
          <w:szCs w:val="24"/>
        </w:rPr>
        <w:t>f the AIFM to be established</w:t>
      </w:r>
      <w:r w:rsidRPr="00C673D3">
        <w:rPr>
          <w:rFonts w:ascii="Times New Roman" w:hAnsi="Times New Roman" w:cs="Times New Roman"/>
          <w:sz w:val="24"/>
          <w:szCs w:val="24"/>
        </w:rPr>
        <w:t xml:space="preserve"> to oversee the implementation of the risk management policy and systems of the AIFs under management</w:t>
      </w:r>
      <w:r w:rsidR="006A50F1">
        <w:rPr>
          <w:rFonts w:ascii="Times New Roman" w:hAnsi="Times New Roman" w:cs="Times New Roman"/>
          <w:sz w:val="24"/>
          <w:szCs w:val="24"/>
        </w:rPr>
        <w:t>, by providing the following:-</w:t>
      </w:r>
    </w:p>
    <w:p w:rsidR="006A50F1" w:rsidRDefault="006A50F1" w:rsidP="006A50F1">
      <w:pPr>
        <w:pStyle w:val="ListParagraph"/>
        <w:spacing w:after="0" w:line="240" w:lineRule="auto"/>
        <w:ind w:left="786"/>
        <w:jc w:val="both"/>
        <w:rPr>
          <w:rFonts w:ascii="Times New Roman" w:hAnsi="Times New Roman" w:cs="Times New Roman"/>
          <w:color w:val="000000" w:themeColor="text1"/>
        </w:rPr>
      </w:pPr>
    </w:p>
    <w:p w:rsidR="006A50F1" w:rsidRDefault="009313AB" w:rsidP="006A50F1">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Details of t</w:t>
      </w:r>
      <w:r w:rsidR="006A50F1" w:rsidRPr="006A50F1">
        <w:rPr>
          <w:rFonts w:ascii="Times New Roman" w:hAnsi="Times New Roman" w:cs="Times New Roman"/>
          <w:sz w:val="24"/>
          <w:szCs w:val="24"/>
        </w:rPr>
        <w:t xml:space="preserve">he individual/s or entities responsible for this function; </w:t>
      </w:r>
    </w:p>
    <w:p w:rsidR="009313AB" w:rsidRPr="00A94207" w:rsidRDefault="009313AB" w:rsidP="009313AB">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9313AB" w:rsidRDefault="009313AB" w:rsidP="009313AB">
      <w:pPr>
        <w:pStyle w:val="ListParagraph"/>
        <w:spacing w:after="0" w:line="240" w:lineRule="auto"/>
        <w:ind w:left="709"/>
        <w:jc w:val="both"/>
        <w:rPr>
          <w:rFonts w:ascii="Times New Roman" w:hAnsi="Times New Roman" w:cs="Times New Roman"/>
          <w:color w:val="000000" w:themeColor="text1"/>
        </w:rPr>
      </w:pPr>
    </w:p>
    <w:p w:rsidR="00DA36B7" w:rsidRDefault="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The duties of the risk management function;</w:t>
      </w:r>
    </w:p>
    <w:p w:rsidR="009313AB" w:rsidRPr="00A94207" w:rsidRDefault="009313AB" w:rsidP="00B3631C">
      <w:pPr>
        <w:pStyle w:val="ListParagraph"/>
        <w:spacing w:after="0" w:line="240" w:lineRule="auto"/>
        <w:ind w:left="1571"/>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200DEA" w:rsidRDefault="00200DEA" w:rsidP="00200DEA">
      <w:pPr>
        <w:pStyle w:val="ListParagraph"/>
        <w:spacing w:line="240" w:lineRule="auto"/>
        <w:ind w:left="1571"/>
        <w:rPr>
          <w:rFonts w:ascii="Times New Roman" w:hAnsi="Times New Roman" w:cs="Times New Roman"/>
          <w:sz w:val="24"/>
          <w:szCs w:val="24"/>
        </w:rPr>
      </w:pPr>
    </w:p>
    <w:p w:rsidR="006A50F1" w:rsidRDefault="006A50F1" w:rsidP="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Any other functions exercised by the risk management function; and</w:t>
      </w:r>
    </w:p>
    <w:p w:rsidR="009313AB" w:rsidRPr="00B3631C" w:rsidRDefault="009313AB" w:rsidP="00B3631C">
      <w:pPr>
        <w:spacing w:after="0" w:line="240" w:lineRule="auto"/>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200DEA" w:rsidRDefault="00200DEA" w:rsidP="00200DEA">
      <w:pPr>
        <w:pStyle w:val="ListParagraph"/>
        <w:spacing w:line="240" w:lineRule="auto"/>
        <w:ind w:left="1571"/>
        <w:rPr>
          <w:rFonts w:ascii="Times New Roman" w:hAnsi="Times New Roman" w:cs="Times New Roman"/>
          <w:sz w:val="24"/>
          <w:szCs w:val="24"/>
        </w:rPr>
      </w:pPr>
    </w:p>
    <w:p w:rsidR="006A50F1" w:rsidRDefault="006A50F1" w:rsidP="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The safeguards put in place to ensure that conflict</w:t>
      </w:r>
      <w:r w:rsidR="009313AB">
        <w:rPr>
          <w:rFonts w:ascii="Times New Roman" w:hAnsi="Times New Roman" w:cs="Times New Roman"/>
          <w:sz w:val="24"/>
          <w:szCs w:val="24"/>
        </w:rPr>
        <w:t>s</w:t>
      </w:r>
      <w:r w:rsidRPr="006A50F1">
        <w:rPr>
          <w:rFonts w:ascii="Times New Roman" w:hAnsi="Times New Roman" w:cs="Times New Roman"/>
          <w:sz w:val="24"/>
          <w:szCs w:val="24"/>
        </w:rPr>
        <w:t xml:space="preserve"> of interests will not prejudice the independence of the risk management function</w:t>
      </w:r>
      <w:r w:rsidR="009313AB">
        <w:rPr>
          <w:rFonts w:ascii="Times New Roman" w:hAnsi="Times New Roman" w:cs="Times New Roman"/>
          <w:sz w:val="24"/>
          <w:szCs w:val="24"/>
        </w:rPr>
        <w:t>.</w:t>
      </w:r>
    </w:p>
    <w:p w:rsidR="009313AB" w:rsidRPr="00A94207" w:rsidRDefault="009313AB" w:rsidP="009313AB">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9313AB" w:rsidRDefault="009313AB" w:rsidP="009313AB">
      <w:pPr>
        <w:pStyle w:val="ListParagraph"/>
        <w:spacing w:after="0" w:line="240" w:lineRule="auto"/>
        <w:ind w:left="709"/>
        <w:jc w:val="both"/>
        <w:rPr>
          <w:rFonts w:ascii="Times New Roman" w:hAnsi="Times New Roman" w:cs="Times New Roman"/>
          <w:color w:val="000000" w:themeColor="text1"/>
        </w:rPr>
      </w:pPr>
    </w:p>
    <w:p w:rsidR="00CE7B32" w:rsidRPr="002D66B7" w:rsidRDefault="001C28BD" w:rsidP="000339F8">
      <w:pPr>
        <w:pStyle w:val="ListParagraph"/>
        <w:numPr>
          <w:ilvl w:val="1"/>
          <w:numId w:val="18"/>
        </w:numPr>
        <w:spacing w:after="0" w:line="240" w:lineRule="auto"/>
        <w:ind w:left="709" w:hanging="644"/>
        <w:jc w:val="both"/>
        <w:rPr>
          <w:rFonts w:ascii="Times New Roman" w:hAnsi="Times New Roman" w:cs="Times New Roman"/>
          <w:sz w:val="24"/>
          <w:szCs w:val="24"/>
        </w:rPr>
      </w:pPr>
      <w:r w:rsidRPr="002D66B7">
        <w:rPr>
          <w:rFonts w:ascii="Times New Roman" w:hAnsi="Times New Roman"/>
          <w:sz w:val="24"/>
          <w:szCs w:val="24"/>
        </w:rPr>
        <w:t>W</w:t>
      </w:r>
      <w:r w:rsidR="00AA1BC3" w:rsidRPr="002D66B7">
        <w:rPr>
          <w:rFonts w:ascii="Times New Roman" w:hAnsi="Times New Roman"/>
          <w:sz w:val="24"/>
          <w:szCs w:val="24"/>
        </w:rPr>
        <w:t xml:space="preserve">here the AIFM </w:t>
      </w:r>
      <w:r w:rsidR="002D66B7" w:rsidRPr="002D66B7">
        <w:rPr>
          <w:rFonts w:ascii="Times New Roman" w:hAnsi="Times New Roman"/>
          <w:sz w:val="24"/>
          <w:szCs w:val="24"/>
        </w:rPr>
        <w:t xml:space="preserve">will not have a functional and hierarchical </w:t>
      </w:r>
      <w:r w:rsidR="000F0C87">
        <w:rPr>
          <w:rFonts w:ascii="Times New Roman" w:hAnsi="Times New Roman"/>
          <w:sz w:val="24"/>
          <w:szCs w:val="24"/>
        </w:rPr>
        <w:t>separation of the functions of risk management</w:t>
      </w:r>
      <w:r w:rsidR="002D66B7" w:rsidRPr="002D66B7">
        <w:rPr>
          <w:rFonts w:ascii="Times New Roman" w:hAnsi="Times New Roman"/>
          <w:sz w:val="24"/>
          <w:szCs w:val="24"/>
        </w:rPr>
        <w:t xml:space="preserve">, </w:t>
      </w:r>
      <w:r w:rsidR="00AA1BC3" w:rsidRPr="002D66B7">
        <w:rPr>
          <w:rFonts w:ascii="Times New Roman" w:hAnsi="Times New Roman"/>
          <w:sz w:val="24"/>
          <w:szCs w:val="24"/>
        </w:rPr>
        <w:t xml:space="preserve">demonstrate that specific safeguards against conflicts of interest will allow for the independent performance of risk management activities and that the </w:t>
      </w:r>
      <w:r w:rsidR="00AA1BC3" w:rsidRPr="002D66B7">
        <w:rPr>
          <w:rFonts w:ascii="Times New Roman" w:hAnsi="Times New Roman"/>
          <w:sz w:val="24"/>
          <w:szCs w:val="24"/>
        </w:rPr>
        <w:lastRenderedPageBreak/>
        <w:t>risk management process satisfies the requirements of Article 15</w:t>
      </w:r>
      <w:r w:rsidR="004205B8">
        <w:rPr>
          <w:rFonts w:ascii="Times New Roman" w:hAnsi="Times New Roman"/>
          <w:sz w:val="24"/>
          <w:szCs w:val="24"/>
        </w:rPr>
        <w:t xml:space="preserve"> of the Directive</w:t>
      </w:r>
      <w:r w:rsidR="00AA1BC3" w:rsidRPr="002D66B7">
        <w:rPr>
          <w:rFonts w:ascii="Times New Roman" w:hAnsi="Times New Roman"/>
          <w:sz w:val="24"/>
          <w:szCs w:val="24"/>
        </w:rPr>
        <w:t xml:space="preserve"> and is consistently effective</w:t>
      </w:r>
      <w:r w:rsidR="00766AFB">
        <w:rPr>
          <w:rFonts w:ascii="Times New Roman" w:hAnsi="Times New Roman"/>
          <w:sz w:val="24"/>
          <w:szCs w:val="24"/>
        </w:rPr>
        <w:t>.</w:t>
      </w:r>
      <w:r w:rsidR="002D66B7">
        <w:rPr>
          <w:rStyle w:val="FootnoteReference"/>
          <w:rFonts w:ascii="Times New Roman" w:hAnsi="Times New Roman"/>
          <w:sz w:val="24"/>
          <w:szCs w:val="24"/>
        </w:rPr>
        <w:footnoteReference w:id="1"/>
      </w:r>
      <w:r w:rsidR="00AA1BC3" w:rsidRPr="002D66B7">
        <w:rPr>
          <w:rFonts w:ascii="Times New Roman" w:hAnsi="Times New Roman"/>
          <w:sz w:val="24"/>
          <w:szCs w:val="24"/>
        </w:rPr>
        <w:t xml:space="preserve"> </w:t>
      </w:r>
    </w:p>
    <w:p w:rsidR="002D66B7" w:rsidRPr="002D66B7" w:rsidRDefault="002D66B7" w:rsidP="002D66B7">
      <w:pPr>
        <w:pStyle w:val="ListParagraph"/>
        <w:spacing w:after="0" w:line="240" w:lineRule="auto"/>
        <w:ind w:left="786"/>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7C7C4A" w:rsidRDefault="007C7C4A" w:rsidP="006A50F1">
      <w:pPr>
        <w:pStyle w:val="ListParagraph"/>
        <w:spacing w:after="0" w:line="240" w:lineRule="auto"/>
        <w:ind w:left="786"/>
        <w:jc w:val="both"/>
        <w:rPr>
          <w:rFonts w:ascii="Times New Roman" w:hAnsi="Times New Roman" w:cs="Times New Roman"/>
          <w:b/>
          <w:i/>
          <w:sz w:val="24"/>
          <w:szCs w:val="24"/>
          <w:u w:val="single"/>
        </w:rPr>
      </w:pPr>
    </w:p>
    <w:p w:rsidR="001C28BD" w:rsidRDefault="001C28BD" w:rsidP="006A50F1">
      <w:pPr>
        <w:pStyle w:val="ListParagraph"/>
        <w:spacing w:after="0" w:line="240" w:lineRule="auto"/>
        <w:ind w:left="786"/>
        <w:jc w:val="both"/>
        <w:rPr>
          <w:rFonts w:ascii="Times New Roman" w:hAnsi="Times New Roman" w:cs="Times New Roman"/>
          <w:b/>
          <w:i/>
          <w:sz w:val="24"/>
          <w:szCs w:val="24"/>
          <w:u w:val="single"/>
        </w:rPr>
      </w:pPr>
      <w:r w:rsidRPr="001C28BD">
        <w:rPr>
          <w:rFonts w:ascii="Times New Roman" w:hAnsi="Times New Roman" w:cs="Times New Roman"/>
          <w:b/>
          <w:i/>
          <w:sz w:val="24"/>
          <w:szCs w:val="24"/>
          <w:u w:val="single"/>
        </w:rPr>
        <w:t xml:space="preserve">Delegation </w:t>
      </w:r>
    </w:p>
    <w:p w:rsidR="001C28BD" w:rsidRPr="001C28BD" w:rsidRDefault="001C28BD" w:rsidP="001C28BD">
      <w:pPr>
        <w:pStyle w:val="ListParagraph"/>
        <w:spacing w:after="0" w:line="240" w:lineRule="auto"/>
        <w:ind w:left="786"/>
        <w:jc w:val="both"/>
        <w:rPr>
          <w:rFonts w:ascii="Times New Roman" w:hAnsi="Times New Roman" w:cs="Times New Roman"/>
          <w:b/>
          <w:i/>
          <w:sz w:val="24"/>
          <w:szCs w:val="24"/>
          <w:u w:val="single"/>
        </w:rPr>
      </w:pPr>
    </w:p>
    <w:p w:rsidR="001C28BD" w:rsidRPr="001C28BD" w:rsidRDefault="001C28BD" w:rsidP="000339F8">
      <w:pPr>
        <w:pStyle w:val="ListParagraph"/>
        <w:numPr>
          <w:ilvl w:val="1"/>
          <w:numId w:val="18"/>
        </w:numPr>
        <w:spacing w:after="0" w:line="240" w:lineRule="auto"/>
        <w:ind w:left="709" w:hanging="709"/>
        <w:jc w:val="both"/>
        <w:rPr>
          <w:rFonts w:ascii="Times New Roman" w:hAnsi="Times New Roman" w:cs="Times New Roman"/>
          <w:sz w:val="24"/>
          <w:szCs w:val="24"/>
        </w:rPr>
      </w:pPr>
      <w:r w:rsidRPr="001C28BD">
        <w:rPr>
          <w:rFonts w:ascii="Times New Roman" w:hAnsi="Times New Roman"/>
          <w:sz w:val="24"/>
          <w:szCs w:val="24"/>
        </w:rPr>
        <w:t xml:space="preserve">In case where the AIFM </w:t>
      </w:r>
      <w:r w:rsidR="002D66B7">
        <w:rPr>
          <w:rFonts w:ascii="Times New Roman" w:hAnsi="Times New Roman"/>
          <w:sz w:val="24"/>
          <w:szCs w:val="24"/>
        </w:rPr>
        <w:t xml:space="preserve">will </w:t>
      </w:r>
      <w:r w:rsidRPr="001C28BD">
        <w:rPr>
          <w:rFonts w:ascii="Times New Roman" w:hAnsi="Times New Roman"/>
          <w:sz w:val="24"/>
          <w:szCs w:val="24"/>
        </w:rPr>
        <w:t>delegate any risk management activities</w:t>
      </w:r>
      <w:r w:rsidR="002D66B7">
        <w:rPr>
          <w:rFonts w:ascii="Times New Roman" w:hAnsi="Times New Roman"/>
          <w:sz w:val="24"/>
          <w:szCs w:val="24"/>
        </w:rPr>
        <w:t xml:space="preserve"> to third parties</w:t>
      </w:r>
      <w:r w:rsidR="003711DD">
        <w:rPr>
          <w:rFonts w:ascii="Times New Roman" w:hAnsi="Times New Roman"/>
          <w:sz w:val="24"/>
          <w:szCs w:val="24"/>
        </w:rPr>
        <w:t>:</w:t>
      </w:r>
    </w:p>
    <w:p w:rsidR="001C28BD" w:rsidRPr="001C28BD" w:rsidRDefault="001C28BD" w:rsidP="001C28BD">
      <w:pPr>
        <w:pStyle w:val="ListParagraph"/>
        <w:spacing w:after="0" w:line="240" w:lineRule="auto"/>
        <w:ind w:left="426"/>
        <w:jc w:val="both"/>
        <w:rPr>
          <w:rFonts w:ascii="Times New Roman" w:hAnsi="Times New Roman"/>
          <w:sz w:val="24"/>
          <w:szCs w:val="24"/>
        </w:rPr>
      </w:pPr>
      <w:r w:rsidRPr="001C28BD">
        <w:rPr>
          <w:rFonts w:ascii="Times New Roman" w:hAnsi="Times New Roman"/>
          <w:sz w:val="24"/>
          <w:szCs w:val="24"/>
        </w:rPr>
        <w:t xml:space="preserve"> </w:t>
      </w:r>
    </w:p>
    <w:p w:rsidR="001C28BD" w:rsidRP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specify wh</w:t>
      </w:r>
      <w:r w:rsidR="002D66B7">
        <w:rPr>
          <w:rFonts w:ascii="Times New Roman" w:hAnsi="Times New Roman"/>
          <w:sz w:val="24"/>
          <w:szCs w:val="24"/>
        </w:rPr>
        <w:t xml:space="preserve">ich activity will be </w:t>
      </w:r>
      <w:r w:rsidRPr="001C28BD">
        <w:rPr>
          <w:rFonts w:ascii="Times New Roman" w:hAnsi="Times New Roman"/>
          <w:sz w:val="24"/>
          <w:szCs w:val="24"/>
        </w:rPr>
        <w:t>delegated</w:t>
      </w:r>
      <w:r w:rsidR="003711DD">
        <w:rPr>
          <w:rFonts w:ascii="Times New Roman" w:hAnsi="Times New Roman"/>
          <w:sz w:val="24"/>
          <w:szCs w:val="24"/>
        </w:rPr>
        <w:t>;</w:t>
      </w:r>
      <w:r w:rsidRPr="001C28BD">
        <w:rPr>
          <w:rFonts w:ascii="Times New Roman" w:hAnsi="Times New Roman"/>
          <w:sz w:val="24"/>
          <w:szCs w:val="24"/>
        </w:rPr>
        <w:t xml:space="preserve"> </w:t>
      </w:r>
    </w:p>
    <w:p w:rsidR="001C28BD" w:rsidRDefault="001C28BD" w:rsidP="001C28BD">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8E31CE" w:rsidRDefault="007B319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1C28BD">
      <w:pPr>
        <w:pStyle w:val="ListParagraph"/>
        <w:spacing w:after="0" w:line="240" w:lineRule="auto"/>
        <w:ind w:left="426"/>
        <w:jc w:val="both"/>
        <w:rPr>
          <w:rFonts w:ascii="Times New Roman" w:hAnsi="Times New Roman"/>
          <w:b/>
          <w:i/>
          <w:sz w:val="24"/>
          <w:szCs w:val="24"/>
        </w:rPr>
      </w:pPr>
    </w:p>
    <w:p w:rsid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 xml:space="preserve">specify to whom such activity </w:t>
      </w:r>
      <w:r w:rsidR="002D66B7">
        <w:rPr>
          <w:rFonts w:ascii="Times New Roman" w:hAnsi="Times New Roman"/>
          <w:sz w:val="24"/>
          <w:szCs w:val="24"/>
        </w:rPr>
        <w:t xml:space="preserve">will be </w:t>
      </w:r>
      <w:r w:rsidRPr="001C28BD">
        <w:rPr>
          <w:rFonts w:ascii="Times New Roman" w:hAnsi="Times New Roman"/>
          <w:sz w:val="24"/>
          <w:szCs w:val="24"/>
        </w:rPr>
        <w:t>delegated, including details of the authorisation and registration status of the delegate</w:t>
      </w:r>
      <w:r w:rsidR="003711DD">
        <w:rPr>
          <w:rFonts w:ascii="Times New Roman" w:hAnsi="Times New Roman"/>
          <w:sz w:val="24"/>
          <w:szCs w:val="24"/>
        </w:rPr>
        <w:t>;</w:t>
      </w:r>
    </w:p>
    <w:p w:rsidR="001C28BD" w:rsidRPr="001C28BD" w:rsidRDefault="001C28BD" w:rsidP="001C28BD">
      <w:pPr>
        <w:pStyle w:val="ListParagraph"/>
        <w:spacing w:after="0" w:line="240" w:lineRule="auto"/>
        <w:ind w:left="786"/>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1C28BD">
      <w:pPr>
        <w:pStyle w:val="ListParagraph"/>
        <w:spacing w:after="0" w:line="240" w:lineRule="auto"/>
        <w:ind w:left="426"/>
        <w:jc w:val="both"/>
        <w:rPr>
          <w:rFonts w:ascii="Times New Roman" w:hAnsi="Times New Roman"/>
          <w:b/>
          <w:i/>
          <w:sz w:val="24"/>
          <w:szCs w:val="24"/>
        </w:rPr>
      </w:pPr>
    </w:p>
    <w:p w:rsid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 xml:space="preserve">specify who within the AIFM </w:t>
      </w:r>
      <w:r w:rsidR="002D66B7">
        <w:rPr>
          <w:rFonts w:ascii="Times New Roman" w:hAnsi="Times New Roman"/>
          <w:sz w:val="24"/>
          <w:szCs w:val="24"/>
        </w:rPr>
        <w:t xml:space="preserve">will be </w:t>
      </w:r>
      <w:r w:rsidRPr="001C28BD">
        <w:rPr>
          <w:rFonts w:ascii="Times New Roman" w:hAnsi="Times New Roman"/>
          <w:sz w:val="24"/>
          <w:szCs w:val="24"/>
        </w:rPr>
        <w:t xml:space="preserve">responsible for the risk monitoring process of the delegated activity, including details of the measures taken to effectively enable such monitoring, as well the frequency of internal </w:t>
      </w:r>
      <w:r w:rsidR="002D66B7">
        <w:rPr>
          <w:rFonts w:ascii="Times New Roman" w:hAnsi="Times New Roman"/>
          <w:sz w:val="24"/>
          <w:szCs w:val="24"/>
        </w:rPr>
        <w:t xml:space="preserve">reporting to be </w:t>
      </w:r>
      <w:r w:rsidRPr="001C28BD">
        <w:rPr>
          <w:rFonts w:ascii="Times New Roman" w:hAnsi="Times New Roman"/>
          <w:sz w:val="24"/>
          <w:szCs w:val="24"/>
        </w:rPr>
        <w:t>undertaken in terms of the delegated activity</w:t>
      </w:r>
      <w:r w:rsidR="003711DD">
        <w:rPr>
          <w:rFonts w:ascii="Times New Roman" w:hAnsi="Times New Roman"/>
          <w:sz w:val="24"/>
          <w:szCs w:val="24"/>
        </w:rPr>
        <w:t>.</w:t>
      </w:r>
      <w:r w:rsidRPr="001C28BD">
        <w:rPr>
          <w:rFonts w:ascii="Times New Roman" w:hAnsi="Times New Roman"/>
          <w:sz w:val="24"/>
          <w:szCs w:val="24"/>
        </w:rPr>
        <w:t xml:space="preserve"> </w:t>
      </w:r>
    </w:p>
    <w:p w:rsidR="001C28BD" w:rsidRPr="001C28BD" w:rsidRDefault="001C28BD" w:rsidP="001C28BD">
      <w:pPr>
        <w:pStyle w:val="ListParagraph"/>
        <w:spacing w:after="0" w:line="240" w:lineRule="auto"/>
        <w:ind w:left="786"/>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6A50F1">
      <w:pPr>
        <w:pStyle w:val="ListParagraph"/>
        <w:spacing w:after="0" w:line="240" w:lineRule="auto"/>
        <w:ind w:left="786"/>
        <w:jc w:val="both"/>
        <w:rPr>
          <w:rFonts w:ascii="Times New Roman" w:hAnsi="Times New Roman" w:cs="Times New Roman"/>
          <w:sz w:val="24"/>
          <w:szCs w:val="24"/>
        </w:rPr>
      </w:pPr>
    </w:p>
    <w:p w:rsidR="003711DD" w:rsidRDefault="003711DD"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p>
    <w:p w:rsidR="006A50F1" w:rsidRDefault="00AA1BC3"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r w:rsidRPr="00AA1BC3">
        <w:rPr>
          <w:rFonts w:ascii="Times New Roman" w:hAnsi="Times New Roman" w:cs="Times New Roman"/>
          <w:b/>
          <w:i/>
          <w:color w:val="000000" w:themeColor="text1"/>
          <w:sz w:val="24"/>
          <w:szCs w:val="24"/>
          <w:u w:val="single"/>
        </w:rPr>
        <w:t xml:space="preserve">Risk Management Policy </w:t>
      </w:r>
    </w:p>
    <w:p w:rsidR="00AA1BC3" w:rsidRPr="00AA1BC3" w:rsidRDefault="00AA1BC3"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p>
    <w:p w:rsidR="00C673D3" w:rsidRPr="00C357BB" w:rsidRDefault="002D66B7" w:rsidP="000339F8">
      <w:pPr>
        <w:pStyle w:val="ListParagraph"/>
        <w:numPr>
          <w:ilvl w:val="1"/>
          <w:numId w:val="18"/>
        </w:num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Article 40(1) of the Commission Delegated Regulation outlines that </w:t>
      </w:r>
      <w:r w:rsidR="000F0C87">
        <w:rPr>
          <w:rFonts w:ascii="Times New Roman" w:hAnsi="Times New Roman" w:cs="Times New Roman"/>
          <w:sz w:val="24"/>
          <w:szCs w:val="24"/>
        </w:rPr>
        <w:t>an AIFM shall establish, implement and maintain an adequate and documented risk management policy which identifies all the relevant risks to which the AIFs it manages are or may be exposed. Please provide a copy of the Risk Management Policy</w:t>
      </w:r>
      <w:r w:rsidR="00125C20">
        <w:rPr>
          <w:rFonts w:ascii="Times New Roman" w:hAnsi="Times New Roman" w:cs="Times New Roman"/>
          <w:sz w:val="24"/>
          <w:szCs w:val="24"/>
        </w:rPr>
        <w:t xml:space="preserve"> and </w:t>
      </w:r>
      <w:r w:rsidR="00125C20" w:rsidRPr="00B3631C">
        <w:rPr>
          <w:rFonts w:ascii="Times New Roman" w:hAnsi="Times New Roman" w:cs="Times New Roman"/>
          <w:sz w:val="24"/>
          <w:szCs w:val="24"/>
        </w:rPr>
        <w:t>indicate in the second column hereunder the page/s where the respective details are included in the document</w:t>
      </w:r>
      <w:r w:rsidR="000F0C87">
        <w:rPr>
          <w:rFonts w:ascii="Times New Roman" w:hAnsi="Times New Roman" w:cs="Times New Roman"/>
          <w:sz w:val="24"/>
          <w:szCs w:val="24"/>
        </w:rPr>
        <w:t>.  The AIFM shall address at least the following elements in the risk management policy</w:t>
      </w:r>
      <w:r w:rsidR="00B403BC" w:rsidRPr="00C357BB">
        <w:rPr>
          <w:rFonts w:ascii="Times New Roman" w:hAnsi="Times New Roman" w:cs="Times New Roman"/>
          <w:sz w:val="24"/>
          <w:szCs w:val="24"/>
        </w:rPr>
        <w:t xml:space="preserve">:- </w:t>
      </w:r>
    </w:p>
    <w:p w:rsidR="004239EE" w:rsidRDefault="004239EE" w:rsidP="006A50F1">
      <w:pPr>
        <w:pStyle w:val="ListParagraph"/>
        <w:spacing w:after="0" w:line="240" w:lineRule="auto"/>
        <w:ind w:left="709"/>
        <w:jc w:val="both"/>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7962"/>
        <w:gridCol w:w="843"/>
      </w:tblGrid>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125C20" w:rsidP="00B3631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Page/s </w:t>
            </w:r>
          </w:p>
        </w:tc>
      </w:tr>
      <w:tr w:rsidR="004239EE" w:rsidTr="00B3631C">
        <w:tc>
          <w:tcPr>
            <w:tcW w:w="8188" w:type="dxa"/>
          </w:tcPr>
          <w:p w:rsidR="004239EE" w:rsidRPr="00C357BB" w:rsidRDefault="004239EE" w:rsidP="00B3631C">
            <w:pPr>
              <w:pStyle w:val="ListParagraph"/>
              <w:numPr>
                <w:ilvl w:val="0"/>
                <w:numId w:val="20"/>
              </w:numPr>
              <w:ind w:left="284" w:hanging="284"/>
              <w:jc w:val="both"/>
              <w:rPr>
                <w:rFonts w:ascii="Times New Roman" w:hAnsi="Times New Roman" w:cs="Times New Roman"/>
                <w:sz w:val="24"/>
                <w:szCs w:val="24"/>
              </w:rPr>
            </w:pPr>
            <w:r w:rsidRPr="00C357BB">
              <w:rPr>
                <w:rFonts w:ascii="Times New Roman" w:hAnsi="Times New Roman" w:cs="Times New Roman"/>
                <w:b/>
                <w:sz w:val="24"/>
                <w:szCs w:val="24"/>
              </w:rPr>
              <w:t>General organisation structure relating to the risk management function, including</w:t>
            </w:r>
            <w:r w:rsidRPr="00C357BB">
              <w:rPr>
                <w:rFonts w:ascii="Times New Roman" w:hAnsi="Times New Roman" w:cs="Times New Roman"/>
                <w:sz w:val="24"/>
                <w:szCs w:val="24"/>
              </w:rPr>
              <w:t>:</w:t>
            </w:r>
          </w:p>
          <w:p w:rsidR="004239EE" w:rsidRDefault="004239EE" w:rsidP="006A50F1">
            <w:pPr>
              <w:pStyle w:val="ListParagraph"/>
              <w:ind w:left="0"/>
              <w:jc w:val="both"/>
              <w:rPr>
                <w:rFonts w:ascii="Times New Roman" w:hAnsi="Times New Roman" w:cs="Times New Roman"/>
                <w:sz w:val="24"/>
                <w:szCs w:val="24"/>
              </w:rPr>
            </w:pP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jc w:val="both"/>
              <w:rPr>
                <w:rFonts w:ascii="Times New Roman" w:hAnsi="Times New Roman" w:cs="Times New Roman"/>
                <w:sz w:val="24"/>
                <w:szCs w:val="24"/>
              </w:rPr>
            </w:pPr>
            <w:r w:rsidRPr="00C357BB">
              <w:rPr>
                <w:rFonts w:ascii="Times New Roman" w:hAnsi="Times New Roman" w:cs="Times New Roman"/>
                <w:sz w:val="24"/>
                <w:szCs w:val="24"/>
              </w:rPr>
              <w:t xml:space="preserve">details on the role of the risk management function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r w:rsidRPr="00C357BB">
              <w:rPr>
                <w:rFonts w:ascii="Times New Roman" w:hAnsi="Times New Roman" w:cs="Times New Roman"/>
                <w:sz w:val="24"/>
                <w:szCs w:val="24"/>
              </w:rPr>
              <w:t>identity of the individual/s and entities involved in the risk management function</w:t>
            </w:r>
            <w:r w:rsidR="00ED168B">
              <w:rPr>
                <w:rFonts w:ascii="Times New Roman" w:hAnsi="Times New Roman" w:cs="Times New Roman"/>
                <w:sz w:val="24"/>
                <w:szCs w:val="24"/>
              </w:rPr>
              <w:t>,</w:t>
            </w:r>
            <w:r w:rsidRPr="00C357BB">
              <w:rPr>
                <w:rFonts w:ascii="Times New Roman" w:hAnsi="Times New Roman" w:cs="Times New Roman"/>
                <w:sz w:val="24"/>
                <w:szCs w:val="24"/>
              </w:rPr>
              <w:t xml:space="preserve"> including the allocation of roles and responsibilities</w:t>
            </w:r>
            <w:r w:rsidRPr="00C357BB">
              <w:rPr>
                <w:rStyle w:val="FootnoteReference"/>
                <w:rFonts w:ascii="Times New Roman" w:hAnsi="Times New Roman" w:cs="Times New Roman"/>
                <w:sz w:val="24"/>
                <w:szCs w:val="24"/>
              </w:rPr>
              <w:footnoteReference w:id="2"/>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proofErr w:type="gramStart"/>
            <w:r w:rsidRPr="00C357BB">
              <w:rPr>
                <w:rFonts w:ascii="Times New Roman" w:hAnsi="Times New Roman" w:cs="Times New Roman"/>
                <w:sz w:val="24"/>
                <w:szCs w:val="24"/>
              </w:rPr>
              <w:t>details</w:t>
            </w:r>
            <w:proofErr w:type="gramEnd"/>
            <w:r w:rsidRPr="00C357BB">
              <w:rPr>
                <w:rFonts w:ascii="Times New Roman" w:hAnsi="Times New Roman" w:cs="Times New Roman"/>
                <w:sz w:val="24"/>
                <w:szCs w:val="24"/>
              </w:rPr>
              <w:t xml:space="preserve"> on the reporting lines (e.g. hierarchy structure of the risk management function, board of directors, investment committee etc.)</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r w:rsidRPr="00C357BB">
              <w:rPr>
                <w:rFonts w:ascii="Times New Roman" w:hAnsi="Times New Roman" w:cs="Times New Roman"/>
                <w:sz w:val="24"/>
                <w:szCs w:val="24"/>
              </w:rPr>
              <w:t xml:space="preserve">details of the interaction between the individuals carrying out the risk management function with other parties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7B319D" w:rsidRDefault="00125C20" w:rsidP="007B319D">
            <w:pPr>
              <w:pStyle w:val="ListParagraph"/>
              <w:numPr>
                <w:ilvl w:val="0"/>
                <w:numId w:val="20"/>
              </w:numPr>
              <w:ind w:left="284" w:hanging="284"/>
              <w:jc w:val="both"/>
              <w:rPr>
                <w:rFonts w:ascii="Times New Roman" w:hAnsi="Times New Roman" w:cs="Times New Roman"/>
                <w:b/>
                <w:sz w:val="24"/>
                <w:szCs w:val="24"/>
              </w:rPr>
            </w:pPr>
            <w:r w:rsidRPr="00C357BB">
              <w:rPr>
                <w:rFonts w:ascii="Times New Roman" w:hAnsi="Times New Roman" w:cs="Times New Roman"/>
                <w:b/>
                <w:sz w:val="24"/>
                <w:szCs w:val="24"/>
              </w:rPr>
              <w:t>Description of the delegated functions (if applicable), including:</w:t>
            </w:r>
            <w:r>
              <w:rPr>
                <w:rFonts w:ascii="Times New Roman" w:hAnsi="Times New Roman" w:cs="Times New Roman"/>
                <w:b/>
                <w:sz w:val="24"/>
                <w:szCs w:val="24"/>
              </w:rPr>
              <w:t xml:space="preserve">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 xml:space="preserve">details of the functions being delegated to the third party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details of the monitoring and control arrangements to be carried out by the AIFM</w:t>
            </w:r>
            <w:r w:rsidRPr="00C357BB">
              <w:rPr>
                <w:rStyle w:val="FootnoteReference"/>
                <w:rFonts w:ascii="Times New Roman" w:hAnsi="Times New Roman" w:cs="Times New Roman"/>
                <w:sz w:val="24"/>
                <w:szCs w:val="24"/>
              </w:rPr>
              <w:footnoteReference w:id="3"/>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 xml:space="preserve">the identity of the individual within the AIFM responsible for monitoring the delegated function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125C20" w:rsidRPr="00F40263" w:rsidRDefault="00125C20" w:rsidP="00B3631C">
            <w:pPr>
              <w:pStyle w:val="ListParagraph"/>
              <w:numPr>
                <w:ilvl w:val="0"/>
                <w:numId w:val="20"/>
              </w:numPr>
              <w:ind w:left="284" w:hanging="284"/>
              <w:jc w:val="both"/>
              <w:rPr>
                <w:rFonts w:ascii="Times New Roman" w:hAnsi="Times New Roman" w:cs="Times New Roman"/>
                <w:b/>
                <w:sz w:val="24"/>
                <w:szCs w:val="24"/>
              </w:rPr>
            </w:pPr>
            <w:r w:rsidRPr="00F40263">
              <w:rPr>
                <w:rFonts w:ascii="Times New Roman" w:hAnsi="Times New Roman" w:cs="Times New Roman"/>
                <w:b/>
                <w:sz w:val="24"/>
                <w:szCs w:val="24"/>
              </w:rPr>
              <w:t>Conflict</w:t>
            </w:r>
            <w:r>
              <w:rPr>
                <w:rFonts w:ascii="Times New Roman" w:hAnsi="Times New Roman" w:cs="Times New Roman"/>
                <w:b/>
                <w:sz w:val="24"/>
                <w:szCs w:val="24"/>
              </w:rPr>
              <w:t>s</w:t>
            </w:r>
            <w:r w:rsidRPr="00F40263">
              <w:rPr>
                <w:rFonts w:ascii="Times New Roman" w:hAnsi="Times New Roman" w:cs="Times New Roman"/>
                <w:b/>
                <w:sz w:val="24"/>
                <w:szCs w:val="24"/>
              </w:rPr>
              <w:t xml:space="preserve"> of Interest </w:t>
            </w:r>
            <w:r>
              <w:rPr>
                <w:rFonts w:ascii="Times New Roman" w:hAnsi="Times New Roman" w:cs="Times New Roman"/>
                <w:b/>
                <w:sz w:val="24"/>
                <w:szCs w:val="24"/>
              </w:rPr>
              <w:t xml:space="preserve"> </w:t>
            </w:r>
          </w:p>
          <w:p w:rsidR="004239EE" w:rsidRDefault="00125C20" w:rsidP="00B3631C">
            <w:pPr>
              <w:autoSpaceDE w:val="0"/>
              <w:autoSpaceDN w:val="0"/>
              <w:adjustRightInd w:val="0"/>
              <w:ind w:left="284"/>
              <w:rPr>
                <w:rFonts w:ascii="Times New Roman" w:hAnsi="Times New Roman" w:cs="Times New Roman"/>
                <w:sz w:val="24"/>
                <w:szCs w:val="24"/>
              </w:rPr>
            </w:pPr>
            <w:r>
              <w:rPr>
                <w:rFonts w:ascii="Times New Roman" w:hAnsi="Times New Roman" w:cs="Times New Roman"/>
                <w:sz w:val="24"/>
                <w:szCs w:val="24"/>
              </w:rPr>
              <w:t>The risk management policy shall include a description of the safeguards against conflicts of interest, in particular:</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the nature of the potential conflicts of interest</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4205B8">
              <w:rPr>
                <w:rFonts w:ascii="Times New Roman" w:hAnsi="Times New Roman" w:cs="Times New Roman"/>
                <w:sz w:val="24"/>
                <w:szCs w:val="24"/>
              </w:rPr>
              <w:t>the remedial measures put in place</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4205B8">
              <w:rPr>
                <w:rFonts w:ascii="Times New Roman" w:hAnsi="Times New Roman" w:cs="Times New Roman"/>
                <w:sz w:val="24"/>
                <w:szCs w:val="24"/>
              </w:rPr>
              <w:t>the reasons why these measures should be reasonably expected to result in</w:t>
            </w:r>
            <w:r>
              <w:rPr>
                <w:rFonts w:ascii="Times New Roman" w:hAnsi="Times New Roman" w:cs="Times New Roman"/>
                <w:sz w:val="24"/>
                <w:szCs w:val="24"/>
              </w:rPr>
              <w:t xml:space="preserve"> </w:t>
            </w:r>
            <w:r w:rsidRPr="004205B8">
              <w:rPr>
                <w:rFonts w:ascii="Times New Roman" w:hAnsi="Times New Roman" w:cs="Times New Roman"/>
                <w:sz w:val="24"/>
                <w:szCs w:val="24"/>
              </w:rPr>
              <w:t>independent performance of the risk management function</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4205B8">
              <w:rPr>
                <w:rFonts w:ascii="Times New Roman" w:hAnsi="Times New Roman" w:cs="Times New Roman"/>
                <w:sz w:val="24"/>
                <w:szCs w:val="24"/>
              </w:rPr>
              <w:t>how the AIFM expects to ensure that the safeguards are consistently effective</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sz w:val="24"/>
                <w:szCs w:val="24"/>
              </w:rPr>
            </w:pPr>
            <w:r w:rsidRPr="00F40263">
              <w:rPr>
                <w:rFonts w:ascii="Times New Roman" w:hAnsi="Times New Roman" w:cs="Times New Roman"/>
                <w:b/>
                <w:sz w:val="24"/>
                <w:szCs w:val="24"/>
              </w:rPr>
              <w:t>Reporting Requirements</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C357BB">
              <w:rPr>
                <w:rFonts w:ascii="Times New Roman" w:hAnsi="Times New Roman" w:cs="Times New Roman"/>
                <w:sz w:val="24"/>
                <w:szCs w:val="24"/>
              </w:rPr>
              <w:t>etails of the procedures, frequency and contents of the reporting obligations of the permanent risk management function to the board of directors</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C357BB">
              <w:rPr>
                <w:rFonts w:ascii="Times New Roman" w:hAnsi="Times New Roman" w:cs="Times New Roman"/>
                <w:sz w:val="24"/>
                <w:szCs w:val="24"/>
              </w:rPr>
              <w:t>etails of the procedures, frequency and contents of the reporting obligations of the permanent risk management to the individual/s responsible for the risk management function and/or the individual monitoring the delegated risk management function</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shd w:val="clear" w:color="auto" w:fill="auto"/>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B3631C">
              <w:rPr>
                <w:rFonts w:ascii="Times New Roman" w:hAnsi="Times New Roman" w:cs="Times New Roman"/>
                <w:sz w:val="24"/>
                <w:szCs w:val="24"/>
              </w:rPr>
              <w:t>etails to ensure compliance with the procedures and contents in the Prospectus and Annual Report in relation to the calculation of the global exposure</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B3631C">
            <w:pPr>
              <w:pStyle w:val="ListParagraph"/>
              <w:ind w:left="709"/>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p w:rsidR="007B319D" w:rsidRDefault="007B319D"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b/>
                <w:sz w:val="24"/>
                <w:szCs w:val="24"/>
              </w:rPr>
            </w:pPr>
            <w:r w:rsidRPr="00F40263">
              <w:rPr>
                <w:rFonts w:ascii="Times New Roman" w:hAnsi="Times New Roman" w:cs="Times New Roman"/>
                <w:b/>
                <w:sz w:val="24"/>
                <w:szCs w:val="24"/>
              </w:rPr>
              <w:t xml:space="preserve">Risk Measurement and </w:t>
            </w:r>
            <w:r w:rsidR="00674950">
              <w:rPr>
                <w:rFonts w:ascii="Times New Roman" w:hAnsi="Times New Roman" w:cs="Times New Roman"/>
                <w:b/>
                <w:sz w:val="24"/>
                <w:szCs w:val="24"/>
              </w:rPr>
              <w:t>M</w:t>
            </w:r>
            <w:r w:rsidRPr="00F40263">
              <w:rPr>
                <w:rFonts w:ascii="Times New Roman" w:hAnsi="Times New Roman" w:cs="Times New Roman"/>
                <w:b/>
                <w:sz w:val="24"/>
                <w:szCs w:val="24"/>
              </w:rPr>
              <w:t xml:space="preserve">anagement </w:t>
            </w:r>
            <w:r>
              <w:rPr>
                <w:rFonts w:ascii="Times New Roman" w:hAnsi="Times New Roman" w:cs="Times New Roman"/>
                <w:b/>
                <w:sz w:val="24"/>
                <w:szCs w:val="24"/>
              </w:rPr>
              <w:t xml:space="preserve">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ind w:left="709" w:hanging="283"/>
              <w:jc w:val="both"/>
              <w:rPr>
                <w:rFonts w:ascii="Times New Roman" w:hAnsi="Times New Roman" w:cs="Times New Roman"/>
                <w:b/>
                <w:sz w:val="24"/>
                <w:szCs w:val="24"/>
              </w:rPr>
            </w:pPr>
            <w:r w:rsidRPr="0023557B">
              <w:rPr>
                <w:rFonts w:ascii="Times New Roman" w:hAnsi="Times New Roman" w:cs="Times New Roman"/>
                <w:sz w:val="24"/>
                <w:szCs w:val="24"/>
              </w:rPr>
              <w:t xml:space="preserve">the techniques, tools and arrangements that enable </w:t>
            </w:r>
            <w:r w:rsidR="00F17C75" w:rsidRPr="0023557B">
              <w:rPr>
                <w:rFonts w:ascii="Times New Roman" w:hAnsi="Times New Roman" w:cs="Times New Roman"/>
                <w:sz w:val="24"/>
                <w:szCs w:val="24"/>
              </w:rPr>
              <w:t>the AIFM</w:t>
            </w:r>
            <w:r w:rsidRPr="0023557B">
              <w:rPr>
                <w:rFonts w:ascii="Times New Roman" w:hAnsi="Times New Roman" w:cs="Times New Roman"/>
                <w:sz w:val="24"/>
                <w:szCs w:val="24"/>
              </w:rPr>
              <w:t xml:space="preserve"> to comply with Article 45 of the Commission Delegated Regulation;</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23557B">
              <w:rPr>
                <w:rFonts w:ascii="Times New Roman" w:hAnsi="Times New Roman" w:cs="Times New Roman"/>
                <w:sz w:val="24"/>
                <w:szCs w:val="24"/>
              </w:rPr>
              <w:lastRenderedPageBreak/>
              <w:t>the techniques, tools and arrangements that enable liquidity risk of the AIF to be assessed and monitored under normal and exceptional liquidity conditions including through the use of regularly conducted stress tests in accordance with Article 48 of the Commission Delegated Regulation;</w:t>
            </w:r>
          </w:p>
        </w:tc>
        <w:tc>
          <w:tcPr>
            <w:tcW w:w="617" w:type="dxa"/>
          </w:tcPr>
          <w:p w:rsidR="007B319D" w:rsidRDefault="007B319D" w:rsidP="006A50F1">
            <w:pPr>
              <w:pStyle w:val="ListParagraph"/>
              <w:ind w:left="0"/>
              <w:jc w:val="both"/>
              <w:rPr>
                <w:rFonts w:ascii="Arial" w:hAnsi="Arial"/>
                <w:szCs w:val="24"/>
              </w:rPr>
            </w:pPr>
          </w:p>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23557B">
              <w:rPr>
                <w:rFonts w:ascii="Times New Roman" w:hAnsi="Times New Roman" w:cs="Times New Roman"/>
                <w:sz w:val="24"/>
                <w:szCs w:val="24"/>
              </w:rPr>
              <w:t xml:space="preserve">the </w:t>
            </w:r>
            <w:r w:rsidR="00B35D30">
              <w:rPr>
                <w:rFonts w:ascii="Times New Roman" w:hAnsi="Times New Roman" w:cs="Times New Roman"/>
                <w:sz w:val="24"/>
                <w:szCs w:val="24"/>
              </w:rPr>
              <w:t>r</w:t>
            </w:r>
            <w:r w:rsidRPr="0023557B">
              <w:rPr>
                <w:rFonts w:ascii="Times New Roman" w:hAnsi="Times New Roman" w:cs="Times New Roman"/>
                <w:sz w:val="24"/>
                <w:szCs w:val="24"/>
              </w:rPr>
              <w:t>isk limits set in accordance with Article 44 of the Commission Delegated Regulation and how these are aligned with the risk profile of the AIF disclosed to investors in accordance with Article 23(4)(c) of the Directive</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sz w:val="24"/>
                <w:szCs w:val="24"/>
              </w:rPr>
            </w:pPr>
            <w:r w:rsidRPr="00C357BB">
              <w:rPr>
                <w:rFonts w:ascii="Times New Roman" w:hAnsi="Times New Roman" w:cs="Times New Roman"/>
                <w:b/>
                <w:sz w:val="24"/>
                <w:szCs w:val="24"/>
              </w:rPr>
              <w:t>Liquidity Risk Management</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B3631C" w:rsidRDefault="009221D7" w:rsidP="00B3631C">
            <w:pPr>
              <w:pStyle w:val="ListParagraph"/>
              <w:numPr>
                <w:ilvl w:val="0"/>
                <w:numId w:val="21"/>
              </w:numPr>
              <w:autoSpaceDE w:val="0"/>
              <w:autoSpaceDN w:val="0"/>
              <w:adjustRightInd w:val="0"/>
              <w:ind w:left="709" w:hanging="283"/>
              <w:jc w:val="both"/>
              <w:rPr>
                <w:rFonts w:ascii="Times New Roman" w:hAnsi="Times New Roman" w:cs="Times New Roman"/>
                <w:b/>
                <w:i/>
                <w:sz w:val="24"/>
                <w:szCs w:val="24"/>
                <w:u w:val="single"/>
              </w:rPr>
            </w:pPr>
            <w:proofErr w:type="gramStart"/>
            <w:r>
              <w:rPr>
                <w:rFonts w:ascii="Times New Roman" w:hAnsi="Times New Roman" w:cs="Times New Roman"/>
                <w:sz w:val="24"/>
                <w:szCs w:val="24"/>
              </w:rPr>
              <w:t>d</w:t>
            </w:r>
            <w:r w:rsidR="00125C20" w:rsidRPr="007B73BD">
              <w:rPr>
                <w:rFonts w:ascii="Times New Roman" w:hAnsi="Times New Roman" w:cs="Times New Roman"/>
                <w:sz w:val="24"/>
                <w:szCs w:val="24"/>
              </w:rPr>
              <w:t>etails</w:t>
            </w:r>
            <w:proofErr w:type="gramEnd"/>
            <w:r w:rsidR="00125C20" w:rsidRPr="007B73BD">
              <w:rPr>
                <w:rFonts w:ascii="Times New Roman" w:hAnsi="Times New Roman" w:cs="Times New Roman"/>
                <w:sz w:val="24"/>
                <w:szCs w:val="24"/>
              </w:rPr>
              <w:t xml:space="preserve"> of the liquidity management systems and procedures for </w:t>
            </w:r>
            <w:r w:rsidR="00125C20">
              <w:rPr>
                <w:rFonts w:ascii="Times New Roman" w:hAnsi="Times New Roman" w:cs="Times New Roman"/>
                <w:sz w:val="24"/>
                <w:szCs w:val="24"/>
              </w:rPr>
              <w:t>the</w:t>
            </w:r>
            <w:r w:rsidR="00125C20" w:rsidRPr="007B73BD">
              <w:rPr>
                <w:rFonts w:ascii="Times New Roman" w:hAnsi="Times New Roman" w:cs="Times New Roman"/>
                <w:sz w:val="24"/>
                <w:szCs w:val="24"/>
              </w:rPr>
              <w:t xml:space="preserve"> AIF in line with the requirements laid down in Article 16 of the Directive and Article 46 of the Commission Delegated Regulation</w:t>
            </w:r>
            <w:r w:rsidR="00125C20" w:rsidRPr="00157B91">
              <w:rPr>
                <w:rFonts w:ascii="Times New Roman" w:hAnsi="Times New Roman" w:cs="Times New Roman"/>
                <w:sz w:val="24"/>
                <w:szCs w:val="24"/>
              </w:rPr>
              <w:t xml:space="preserve">, taking into account the investment strategy, liquidity profile and the redemption policy of </w:t>
            </w:r>
            <w:r w:rsidR="00125C20">
              <w:rPr>
                <w:rFonts w:ascii="Times New Roman" w:hAnsi="Times New Roman" w:cs="Times New Roman"/>
                <w:sz w:val="24"/>
                <w:szCs w:val="24"/>
              </w:rPr>
              <w:t>the</w:t>
            </w:r>
            <w:r w:rsidR="00125C20" w:rsidRPr="00157B91">
              <w:rPr>
                <w:rFonts w:ascii="Times New Roman" w:hAnsi="Times New Roman" w:cs="Times New Roman"/>
                <w:sz w:val="24"/>
                <w:szCs w:val="24"/>
              </w:rPr>
              <w:t xml:space="preserve"> AIF.</w:t>
            </w:r>
          </w:p>
        </w:tc>
        <w:tc>
          <w:tcPr>
            <w:tcW w:w="617" w:type="dxa"/>
          </w:tcPr>
          <w:p w:rsidR="004239EE" w:rsidRDefault="004239EE" w:rsidP="006A50F1">
            <w:pPr>
              <w:pStyle w:val="ListParagraph"/>
              <w:ind w:left="0"/>
              <w:jc w:val="both"/>
              <w:rPr>
                <w:rFonts w:ascii="Times New Roman" w:hAnsi="Times New Roman" w:cs="Times New Roman"/>
                <w:sz w:val="24"/>
                <w:szCs w:val="24"/>
              </w:rPr>
            </w:pPr>
          </w:p>
          <w:p w:rsidR="007B319D"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Default="00125C20" w:rsidP="006A50F1">
            <w:pPr>
              <w:pStyle w:val="ListParagraph"/>
              <w:ind w:left="0"/>
              <w:jc w:val="both"/>
              <w:rPr>
                <w:rFonts w:ascii="Times New Roman" w:hAnsi="Times New Roman" w:cs="Times New Roman"/>
                <w:sz w:val="24"/>
                <w:szCs w:val="24"/>
              </w:rPr>
            </w:pPr>
          </w:p>
        </w:tc>
        <w:tc>
          <w:tcPr>
            <w:tcW w:w="617" w:type="dxa"/>
          </w:tcPr>
          <w:p w:rsidR="00125C20" w:rsidRDefault="00125C20" w:rsidP="006A50F1">
            <w:pPr>
              <w:pStyle w:val="ListParagraph"/>
              <w:ind w:left="0"/>
              <w:jc w:val="both"/>
              <w:rPr>
                <w:rFonts w:ascii="Times New Roman" w:hAnsi="Times New Roman" w:cs="Times New Roman"/>
                <w:sz w:val="24"/>
                <w:szCs w:val="24"/>
              </w:rPr>
            </w:pPr>
          </w:p>
        </w:tc>
      </w:tr>
      <w:tr w:rsidR="00125C20" w:rsidTr="004239EE">
        <w:tc>
          <w:tcPr>
            <w:tcW w:w="8188" w:type="dxa"/>
          </w:tcPr>
          <w:p w:rsidR="00125C20" w:rsidRPr="00B3631C" w:rsidRDefault="00125C20" w:rsidP="00B3631C">
            <w:pPr>
              <w:pStyle w:val="ListParagraph"/>
              <w:numPr>
                <w:ilvl w:val="0"/>
                <w:numId w:val="20"/>
              </w:numPr>
              <w:ind w:left="284" w:hanging="284"/>
              <w:jc w:val="both"/>
              <w:rPr>
                <w:rFonts w:ascii="Times New Roman" w:hAnsi="Times New Roman" w:cs="Times New Roman"/>
                <w:b/>
                <w:sz w:val="24"/>
                <w:szCs w:val="24"/>
              </w:rPr>
            </w:pPr>
            <w:r w:rsidRPr="00764FFD">
              <w:rPr>
                <w:rFonts w:ascii="Times New Roman" w:hAnsi="Times New Roman" w:cs="Times New Roman"/>
                <w:b/>
                <w:sz w:val="24"/>
                <w:szCs w:val="24"/>
              </w:rPr>
              <w:t>Operational/ Professional Liability Risks</w:t>
            </w:r>
          </w:p>
        </w:tc>
        <w:tc>
          <w:tcPr>
            <w:tcW w:w="617" w:type="dxa"/>
          </w:tcPr>
          <w:p w:rsidR="00125C20"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Pr="00B3631C" w:rsidRDefault="009221D7" w:rsidP="00B3631C">
            <w:pPr>
              <w:pStyle w:val="ListParagraph"/>
              <w:numPr>
                <w:ilvl w:val="0"/>
                <w:numId w:val="21"/>
              </w:numPr>
              <w:autoSpaceDE w:val="0"/>
              <w:autoSpaceDN w:val="0"/>
              <w:adjustRightInd w:val="0"/>
              <w:ind w:left="709" w:hanging="283"/>
              <w:jc w:val="both"/>
              <w:rPr>
                <w:rFonts w:ascii="Times New Roman" w:hAnsi="Times New Roman"/>
                <w:sz w:val="24"/>
                <w:szCs w:val="24"/>
              </w:rPr>
            </w:pPr>
            <w:proofErr w:type="gramStart"/>
            <w:r>
              <w:rPr>
                <w:rFonts w:ascii="Times New Roman" w:hAnsi="Times New Roman" w:cs="Times New Roman"/>
                <w:sz w:val="24"/>
                <w:szCs w:val="24"/>
              </w:rPr>
              <w:t>d</w:t>
            </w:r>
            <w:r w:rsidR="00125C20" w:rsidRPr="000359B9">
              <w:rPr>
                <w:rFonts w:ascii="Times New Roman" w:hAnsi="Times New Roman" w:cs="Times New Roman"/>
                <w:sz w:val="24"/>
                <w:szCs w:val="24"/>
              </w:rPr>
              <w:t>etails</w:t>
            </w:r>
            <w:proofErr w:type="gramEnd"/>
            <w:r w:rsidR="00125C20">
              <w:rPr>
                <w:rFonts w:ascii="Times New Roman" w:hAnsi="Times New Roman"/>
                <w:sz w:val="24"/>
                <w:szCs w:val="24"/>
              </w:rPr>
              <w:t xml:space="preserve"> of </w:t>
            </w:r>
            <w:r w:rsidR="00125C20" w:rsidRPr="007D47D0">
              <w:rPr>
                <w:rFonts w:ascii="Times New Roman" w:hAnsi="Times New Roman"/>
                <w:sz w:val="24"/>
                <w:szCs w:val="24"/>
              </w:rPr>
              <w:t xml:space="preserve">the internal operational risk management policies and procedures in place to identify, measure, manage and monitor appropriately operational risks including professional liability risks to which the AIFM is or could be reasonably exposed. </w:t>
            </w:r>
            <w:r w:rsidR="00125C20">
              <w:rPr>
                <w:rFonts w:ascii="Times New Roman" w:hAnsi="Times New Roman"/>
                <w:sz w:val="24"/>
                <w:szCs w:val="24"/>
              </w:rPr>
              <w:t xml:space="preserve"> </w:t>
            </w:r>
          </w:p>
        </w:tc>
        <w:tc>
          <w:tcPr>
            <w:tcW w:w="617" w:type="dxa"/>
          </w:tcPr>
          <w:p w:rsidR="007B319D" w:rsidRDefault="007B319D" w:rsidP="006A50F1">
            <w:pPr>
              <w:pStyle w:val="ListParagraph"/>
              <w:ind w:left="0"/>
              <w:jc w:val="both"/>
              <w:rPr>
                <w:rFonts w:ascii="Arial" w:hAnsi="Arial"/>
                <w:szCs w:val="24"/>
              </w:rPr>
            </w:pPr>
          </w:p>
          <w:p w:rsidR="007B319D" w:rsidRDefault="007B319D" w:rsidP="006A50F1">
            <w:pPr>
              <w:pStyle w:val="ListParagraph"/>
              <w:ind w:left="0"/>
              <w:jc w:val="both"/>
              <w:rPr>
                <w:rFonts w:ascii="Arial" w:hAnsi="Arial"/>
                <w:szCs w:val="24"/>
              </w:rPr>
            </w:pPr>
          </w:p>
          <w:p w:rsidR="00125C20"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Pr="000359B9" w:rsidRDefault="00125C20" w:rsidP="00B3631C">
            <w:pPr>
              <w:pStyle w:val="ListParagraph"/>
              <w:autoSpaceDE w:val="0"/>
              <w:autoSpaceDN w:val="0"/>
              <w:adjustRightInd w:val="0"/>
              <w:ind w:left="709"/>
              <w:jc w:val="both"/>
              <w:rPr>
                <w:rFonts w:ascii="Times New Roman" w:hAnsi="Times New Roman" w:cs="Times New Roman"/>
                <w:sz w:val="24"/>
                <w:szCs w:val="24"/>
              </w:rPr>
            </w:pPr>
          </w:p>
        </w:tc>
        <w:tc>
          <w:tcPr>
            <w:tcW w:w="617" w:type="dxa"/>
          </w:tcPr>
          <w:p w:rsidR="00125C20" w:rsidRDefault="00125C20" w:rsidP="006A50F1">
            <w:pPr>
              <w:pStyle w:val="ListParagraph"/>
              <w:ind w:left="0"/>
              <w:jc w:val="both"/>
              <w:rPr>
                <w:rFonts w:ascii="Times New Roman" w:hAnsi="Times New Roman" w:cs="Times New Roman"/>
                <w:sz w:val="24"/>
                <w:szCs w:val="24"/>
              </w:rPr>
            </w:pPr>
          </w:p>
        </w:tc>
      </w:tr>
    </w:tbl>
    <w:p w:rsidR="004239EE" w:rsidRDefault="004239EE" w:rsidP="006A50F1">
      <w:pPr>
        <w:pStyle w:val="ListParagraph"/>
        <w:spacing w:after="0" w:line="240" w:lineRule="auto"/>
        <w:ind w:left="709"/>
        <w:jc w:val="both"/>
        <w:rPr>
          <w:rFonts w:ascii="Times New Roman" w:hAnsi="Times New Roman" w:cs="Times New Roman"/>
          <w:sz w:val="24"/>
          <w:szCs w:val="24"/>
        </w:rPr>
      </w:pPr>
    </w:p>
    <w:p w:rsidR="00157B91" w:rsidRPr="00B3631C" w:rsidRDefault="00157B91" w:rsidP="00B3631C">
      <w:pPr>
        <w:spacing w:after="0" w:line="240" w:lineRule="auto"/>
        <w:jc w:val="both"/>
        <w:rPr>
          <w:rFonts w:ascii="Times New Roman" w:hAnsi="Times New Roman" w:cs="Times New Roman"/>
          <w:sz w:val="24"/>
          <w:szCs w:val="24"/>
        </w:rPr>
      </w:pPr>
    </w:p>
    <w:p w:rsidR="00CD634D" w:rsidRPr="00C357BB" w:rsidRDefault="00CD634D" w:rsidP="00CD634D">
      <w:pPr>
        <w:pStyle w:val="ListParagraph"/>
        <w:spacing w:after="0" w:line="240" w:lineRule="auto"/>
        <w:ind w:left="709"/>
        <w:jc w:val="both"/>
        <w:rPr>
          <w:rFonts w:ascii="Times New Roman" w:hAnsi="Times New Roman" w:cs="Times New Roman"/>
          <w:sz w:val="24"/>
          <w:szCs w:val="24"/>
        </w:rPr>
      </w:pPr>
    </w:p>
    <w:p w:rsidR="004205B8" w:rsidRDefault="004205B8" w:rsidP="004205B8">
      <w:pPr>
        <w:pStyle w:val="ListParagraph"/>
        <w:spacing w:after="0" w:line="240" w:lineRule="auto"/>
        <w:ind w:left="709"/>
        <w:jc w:val="both"/>
        <w:rPr>
          <w:rFonts w:ascii="Times New Roman" w:hAnsi="Times New Roman" w:cs="Times New Roman"/>
          <w:b/>
          <w:sz w:val="24"/>
          <w:szCs w:val="24"/>
        </w:rPr>
      </w:pPr>
    </w:p>
    <w:p w:rsidR="00352EE3" w:rsidRPr="00C357BB" w:rsidRDefault="00352EE3" w:rsidP="00352EE3">
      <w:pPr>
        <w:pStyle w:val="ListParagraph"/>
        <w:spacing w:after="0" w:line="240" w:lineRule="auto"/>
        <w:ind w:left="709"/>
        <w:jc w:val="both"/>
        <w:rPr>
          <w:rFonts w:ascii="Times New Roman" w:hAnsi="Times New Roman" w:cs="Times New Roman"/>
          <w:sz w:val="24"/>
          <w:szCs w:val="24"/>
        </w:rPr>
      </w:pPr>
    </w:p>
    <w:p w:rsidR="00157B91" w:rsidRPr="004205B8" w:rsidRDefault="00157B91" w:rsidP="004205B8">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157B91" w:rsidRDefault="00157B91" w:rsidP="00157B91">
      <w:pPr>
        <w:pStyle w:val="ListParagraph"/>
        <w:spacing w:after="0" w:line="240" w:lineRule="auto"/>
        <w:ind w:left="786"/>
        <w:jc w:val="both"/>
        <w:rPr>
          <w:rFonts w:ascii="Times New Roman" w:hAnsi="Times New Roman" w:cs="Times New Roman"/>
          <w:sz w:val="24"/>
          <w:szCs w:val="24"/>
        </w:rPr>
      </w:pPr>
    </w:p>
    <w:p w:rsidR="007F0D63" w:rsidRDefault="007F0D63" w:rsidP="00157B91">
      <w:pPr>
        <w:pStyle w:val="ListParagraph"/>
        <w:spacing w:after="0" w:line="240" w:lineRule="auto"/>
        <w:ind w:left="786"/>
        <w:jc w:val="both"/>
        <w:rPr>
          <w:rFonts w:ascii="Times New Roman" w:hAnsi="Times New Roman" w:cs="Times New Roman"/>
          <w:sz w:val="24"/>
          <w:szCs w:val="24"/>
        </w:rPr>
      </w:pPr>
    </w:p>
    <w:p w:rsidR="00157B91" w:rsidRPr="00157B91" w:rsidRDefault="00157B91" w:rsidP="00157B91">
      <w:pPr>
        <w:pStyle w:val="ListParagraph"/>
        <w:spacing w:after="0" w:line="240" w:lineRule="auto"/>
        <w:ind w:left="786"/>
        <w:jc w:val="both"/>
        <w:rPr>
          <w:rFonts w:ascii="Times New Roman" w:hAnsi="Times New Roman" w:cs="Times New Roman"/>
          <w:sz w:val="24"/>
          <w:szCs w:val="24"/>
        </w:rPr>
      </w:pPr>
    </w:p>
    <w:p w:rsidR="00F40263" w:rsidRDefault="00F40263" w:rsidP="00F40263">
      <w:pPr>
        <w:spacing w:line="240" w:lineRule="auto"/>
        <w:ind w:left="142"/>
        <w:jc w:val="center"/>
        <w:rPr>
          <w:rFonts w:ascii="Times New Roman" w:hAnsi="Times New Roman" w:cs="Times New Roman"/>
          <w:b/>
          <w:bCs/>
          <w:sz w:val="26"/>
          <w:szCs w:val="26"/>
        </w:rPr>
      </w:pPr>
      <w:bookmarkStart w:id="3" w:name="_Toc347734560"/>
    </w:p>
    <w:p w:rsidR="00157B91" w:rsidRDefault="00157B91" w:rsidP="00F40263">
      <w:pPr>
        <w:spacing w:line="240" w:lineRule="auto"/>
        <w:ind w:left="142"/>
        <w:jc w:val="center"/>
        <w:rPr>
          <w:rFonts w:ascii="Times New Roman" w:hAnsi="Times New Roman" w:cs="Times New Roman"/>
          <w:b/>
          <w:bCs/>
          <w:sz w:val="26"/>
          <w:szCs w:val="26"/>
        </w:rPr>
      </w:pPr>
    </w:p>
    <w:p w:rsidR="00B653A7" w:rsidRDefault="00B653A7">
      <w:pPr>
        <w:rPr>
          <w:rFonts w:ascii="Times New Roman" w:hAnsi="Times New Roman" w:cs="Times New Roman"/>
          <w:b/>
          <w:bCs/>
          <w:sz w:val="26"/>
          <w:szCs w:val="26"/>
        </w:rPr>
      </w:pPr>
      <w:r>
        <w:rPr>
          <w:rFonts w:ascii="Times New Roman" w:hAnsi="Times New Roman" w:cs="Times New Roman"/>
          <w:b/>
          <w:bCs/>
          <w:sz w:val="26"/>
          <w:szCs w:val="26"/>
        </w:rPr>
        <w:br w:type="page"/>
      </w:r>
    </w:p>
    <w:p w:rsidR="00F40263" w:rsidRDefault="00157B91" w:rsidP="00F40263">
      <w:pPr>
        <w:spacing w:line="240" w:lineRule="auto"/>
        <w:ind w:left="142"/>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F40263" w:rsidRPr="007F7A79">
        <w:rPr>
          <w:rFonts w:ascii="Times New Roman" w:hAnsi="Times New Roman" w:cs="Times New Roman"/>
          <w:b/>
          <w:bCs/>
          <w:sz w:val="26"/>
          <w:szCs w:val="26"/>
        </w:rPr>
        <w:t xml:space="preserve">ection </w:t>
      </w:r>
      <w:r w:rsidR="00F40263">
        <w:rPr>
          <w:rFonts w:ascii="Times New Roman" w:hAnsi="Times New Roman" w:cs="Times New Roman"/>
          <w:b/>
          <w:bCs/>
          <w:sz w:val="26"/>
          <w:szCs w:val="26"/>
        </w:rPr>
        <w:t>8:</w:t>
      </w:r>
      <w:r w:rsidR="00F40263" w:rsidRPr="007F7A79">
        <w:rPr>
          <w:rFonts w:ascii="Times New Roman" w:hAnsi="Times New Roman" w:cs="Times New Roman"/>
          <w:b/>
          <w:bCs/>
          <w:sz w:val="26"/>
          <w:szCs w:val="26"/>
        </w:rPr>
        <w:t xml:space="preserve"> </w:t>
      </w:r>
      <w:r w:rsidR="00CD634D">
        <w:rPr>
          <w:rFonts w:ascii="Times New Roman" w:hAnsi="Times New Roman" w:cs="Times New Roman"/>
          <w:b/>
          <w:bCs/>
          <w:sz w:val="26"/>
          <w:szCs w:val="26"/>
        </w:rPr>
        <w:t xml:space="preserve">Investment in Securitisation Positions </w:t>
      </w:r>
    </w:p>
    <w:p w:rsidR="00CD634D" w:rsidRPr="00FE6778" w:rsidRDefault="00CD634D" w:rsidP="00CD634D">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deals with investment in securitisation positions by the AIFs in accordance with Article 17 of the AIFM Directive and Chapter III</w:t>
      </w:r>
      <w:r w:rsidRPr="00FE6778">
        <w:rPr>
          <w:rFonts w:ascii="Times New Roman" w:hAnsi="Times New Roman" w:cs="Times New Roman"/>
          <w:b/>
          <w:i/>
          <w:color w:val="808080" w:themeColor="background1" w:themeShade="80"/>
        </w:rPr>
        <w:t xml:space="preserve"> </w:t>
      </w:r>
      <w:r w:rsidRPr="00FE6778">
        <w:rPr>
          <w:rFonts w:ascii="Times New Roman" w:hAnsi="Times New Roman" w:cs="Times New Roman"/>
          <w:i/>
          <w:color w:val="808080" w:themeColor="background1" w:themeShade="80"/>
        </w:rPr>
        <w:t xml:space="preserve">section 5 of the </w:t>
      </w:r>
      <w:r w:rsidR="0024465F">
        <w:rPr>
          <w:rFonts w:ascii="Times New Roman" w:hAnsi="Times New Roman" w:cs="Times New Roman"/>
          <w:i/>
          <w:color w:val="808080" w:themeColor="background1" w:themeShade="80"/>
        </w:rPr>
        <w:t>Commission Delegated Regulation</w:t>
      </w:r>
      <w:r w:rsidRPr="00FE6778">
        <w:rPr>
          <w:rFonts w:ascii="Times New Roman" w:hAnsi="Times New Roman" w:cs="Times New Roman"/>
          <w:i/>
          <w:color w:val="808080" w:themeColor="background1" w:themeShade="80"/>
        </w:rPr>
        <w:t xml:space="preserve">. </w:t>
      </w: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r w:rsidRPr="00FE6778">
        <w:rPr>
          <w:rStyle w:val="A9"/>
          <w:rFonts w:ascii="Times New Roman" w:hAnsi="Times New Roman" w:cs="Times New Roman"/>
          <w:i/>
          <w:color w:val="808080" w:themeColor="background1" w:themeShade="80"/>
          <w:sz w:val="22"/>
          <w:szCs w:val="22"/>
        </w:rPr>
        <w:t xml:space="preserve">Article 17 of the Directive </w:t>
      </w:r>
      <w:r w:rsidR="00B653A7" w:rsidRPr="00FE6778">
        <w:rPr>
          <w:rStyle w:val="A9"/>
          <w:rFonts w:ascii="Times New Roman" w:hAnsi="Times New Roman" w:cs="Times New Roman"/>
          <w:i/>
          <w:color w:val="808080" w:themeColor="background1" w:themeShade="80"/>
          <w:sz w:val="22"/>
          <w:szCs w:val="22"/>
        </w:rPr>
        <w:t xml:space="preserve">outlines, inter alia, that </w:t>
      </w:r>
      <w:r w:rsidRPr="00FE6778">
        <w:rPr>
          <w:rStyle w:val="A9"/>
          <w:rFonts w:ascii="Times New Roman" w:hAnsi="Times New Roman" w:cs="Times New Roman"/>
          <w:i/>
          <w:color w:val="808080" w:themeColor="background1" w:themeShade="80"/>
          <w:sz w:val="22"/>
          <w:szCs w:val="22"/>
        </w:rPr>
        <w:t>AIFs may only invest in securitisation instruments issued after 1 January 2011 if, as a general rule, the originator, sponsor or original lender retains a net economic interest of not less than 5% in the respective position. If the net economic interest of the issuer falls below the 5% threshold, the AIF is required to hedge or sell the position, taking the best interests of the investors into account.</w:t>
      </w: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r w:rsidRPr="00FE6778">
        <w:rPr>
          <w:rStyle w:val="A9"/>
          <w:rFonts w:ascii="Times New Roman" w:hAnsi="Times New Roman" w:cs="Times New Roman"/>
          <w:i/>
          <w:color w:val="808080" w:themeColor="background1" w:themeShade="80"/>
          <w:sz w:val="22"/>
          <w:szCs w:val="22"/>
        </w:rPr>
        <w:t xml:space="preserve">The Commission Delegated Regulation allows a </w:t>
      </w:r>
      <w:r w:rsidR="001D3A7C" w:rsidRPr="00FE6778">
        <w:rPr>
          <w:rStyle w:val="A9"/>
          <w:rFonts w:ascii="Times New Roman" w:hAnsi="Times New Roman" w:cs="Times New Roman"/>
          <w:i/>
          <w:color w:val="808080" w:themeColor="background1" w:themeShade="80"/>
          <w:sz w:val="22"/>
          <w:szCs w:val="22"/>
        </w:rPr>
        <w:t>t</w:t>
      </w:r>
      <w:r w:rsidRPr="00FE6778">
        <w:rPr>
          <w:rStyle w:val="A9"/>
          <w:rFonts w:ascii="Times New Roman" w:hAnsi="Times New Roman" w:cs="Times New Roman"/>
          <w:i/>
          <w:color w:val="808080" w:themeColor="background1" w:themeShade="80"/>
          <w:sz w:val="22"/>
          <w:szCs w:val="22"/>
        </w:rPr>
        <w:t>ransitional period up to 31 December 2014 with regard to existing positions of an AIF issued prior to 1 January 2011.</w:t>
      </w:r>
    </w:p>
    <w:bookmarkEnd w:id="3"/>
    <w:p w:rsidR="00EC1F3D" w:rsidRDefault="00EC1F3D" w:rsidP="00EC1F3D">
      <w:pPr>
        <w:pStyle w:val="ListParagraph"/>
        <w:tabs>
          <w:tab w:val="left" w:pos="8789"/>
          <w:tab w:val="left" w:pos="9214"/>
        </w:tabs>
        <w:jc w:val="both"/>
        <w:rPr>
          <w:rFonts w:ascii="Times New Roman" w:hAnsi="Times New Roman" w:cs="Times New Roman"/>
          <w:i/>
          <w:color w:val="808080" w:themeColor="background1" w:themeShade="80"/>
        </w:rPr>
      </w:pPr>
    </w:p>
    <w:p w:rsidR="00EC1F3D" w:rsidRPr="00FE6778" w:rsidRDefault="00EC1F3D" w:rsidP="00EC1F3D">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should be completed by internally managed AIFs and Fund Managers (including UCITS Management companies</w:t>
      </w:r>
      <w:r>
        <w:rPr>
          <w:rFonts w:ascii="Times New Roman" w:hAnsi="Times New Roman" w:cs="Times New Roman"/>
          <w:i/>
          <w:color w:val="808080" w:themeColor="background1" w:themeShade="80"/>
        </w:rPr>
        <w:t xml:space="preserve"> </w:t>
      </w:r>
      <w:r>
        <w:rPr>
          <w:rFonts w:ascii="Times New Roman" w:eastAsiaTheme="majorEastAsia" w:hAnsi="Times New Roman" w:cs="Times New Roman"/>
          <w:bCs/>
          <w:i/>
          <w:color w:val="808080" w:themeColor="background1" w:themeShade="80"/>
        </w:rPr>
        <w:t>which also manage AIFs</w:t>
      </w:r>
      <w:r w:rsidRPr="00FE6778">
        <w:rPr>
          <w:rFonts w:ascii="Times New Roman" w:hAnsi="Times New Roman" w:cs="Times New Roman"/>
          <w:i/>
          <w:color w:val="808080" w:themeColor="background1" w:themeShade="80"/>
        </w:rPr>
        <w:t xml:space="preserve">). </w:t>
      </w:r>
    </w:p>
    <w:p w:rsidR="00EC1F3D" w:rsidRDefault="00EC1F3D" w:rsidP="00F167BD">
      <w:pPr>
        <w:pStyle w:val="ListParagraph"/>
        <w:spacing w:after="0" w:line="240" w:lineRule="auto"/>
        <w:ind w:left="709"/>
        <w:jc w:val="both"/>
        <w:rPr>
          <w:rFonts w:ascii="Times New Roman" w:hAnsi="Times New Roman" w:cs="Times New Roman"/>
          <w:sz w:val="24"/>
          <w:szCs w:val="24"/>
        </w:rPr>
      </w:pPr>
    </w:p>
    <w:p w:rsidR="00917B9F" w:rsidRDefault="00917B9F"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Indicate whether the AIFM has any </w:t>
      </w:r>
      <w:r w:rsidR="00157B91">
        <w:rPr>
          <w:rFonts w:ascii="Times New Roman" w:hAnsi="Times New Roman" w:cs="Times New Roman"/>
          <w:sz w:val="24"/>
          <w:szCs w:val="24"/>
        </w:rPr>
        <w:t xml:space="preserve">current </w:t>
      </w:r>
      <w:r>
        <w:rPr>
          <w:rFonts w:ascii="Times New Roman" w:hAnsi="Times New Roman" w:cs="Times New Roman"/>
          <w:sz w:val="24"/>
          <w:szCs w:val="24"/>
        </w:rPr>
        <w:t>investment in securitisation positions</w:t>
      </w:r>
      <w:r w:rsidR="00B653A7">
        <w:rPr>
          <w:rFonts w:ascii="Times New Roman" w:hAnsi="Times New Roman" w:cs="Times New Roman"/>
          <w:sz w:val="24"/>
          <w:szCs w:val="24"/>
        </w:rPr>
        <w:t xml:space="preserve">. </w:t>
      </w:r>
      <w:r w:rsidR="00B653A7" w:rsidRPr="00B3631C">
        <w:rPr>
          <w:rFonts w:ascii="Times New Roman" w:hAnsi="Times New Roman" w:cs="Times New Roman"/>
          <w:i/>
          <w:sz w:val="24"/>
          <w:szCs w:val="24"/>
        </w:rPr>
        <w:t>(In case of no such investments, please proceed to the next section).</w:t>
      </w:r>
      <w:r w:rsidR="00B653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7B9F" w:rsidRDefault="00917B9F" w:rsidP="00917B9F">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17B9F" w:rsidRPr="00C01DA9" w:rsidTr="00087790">
        <w:trPr>
          <w:trHeight w:val="207"/>
        </w:trPr>
        <w:tc>
          <w:tcPr>
            <w:tcW w:w="8647" w:type="dxa"/>
            <w:vMerge w:val="restart"/>
            <w:shd w:val="clear" w:color="000000" w:fill="FFFF00"/>
            <w:hideMark/>
          </w:tcPr>
          <w:p w:rsidR="00917B9F" w:rsidRDefault="00917B9F" w:rsidP="00087790">
            <w:pPr>
              <w:spacing w:after="0" w:line="240" w:lineRule="auto"/>
              <w:jc w:val="both"/>
              <w:rPr>
                <w:rFonts w:ascii="Times New Roman" w:eastAsia="Times New Roman" w:hAnsi="Times New Roman" w:cs="Times New Roman"/>
                <w:sz w:val="24"/>
                <w:szCs w:val="24"/>
                <w:lang w:eastAsia="en-GB"/>
              </w:rPr>
            </w:pPr>
          </w:p>
          <w:p w:rsidR="00917B9F"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17B9F" w:rsidRPr="008E31CE" w:rsidRDefault="00917B9F" w:rsidP="00087790">
            <w:pPr>
              <w:spacing w:after="0" w:line="240" w:lineRule="auto"/>
              <w:jc w:val="both"/>
              <w:rPr>
                <w:rFonts w:ascii="Times New Roman" w:eastAsia="Times New Roman" w:hAnsi="Times New Roman" w:cs="Times New Roman"/>
                <w:sz w:val="24"/>
                <w:szCs w:val="24"/>
                <w:lang w:eastAsia="en-GB"/>
              </w:rPr>
            </w:pPr>
          </w:p>
          <w:p w:rsidR="00917B9F" w:rsidRPr="00C01DA9" w:rsidRDefault="00917B9F" w:rsidP="00087790">
            <w:pPr>
              <w:spacing w:after="0" w:line="240" w:lineRule="auto"/>
              <w:jc w:val="both"/>
              <w:rPr>
                <w:rFonts w:ascii="Times New Roman" w:eastAsia="Times New Roman" w:hAnsi="Times New Roman" w:cs="Times New Roman"/>
                <w:sz w:val="18"/>
                <w:szCs w:val="18"/>
                <w:lang w:eastAsia="en-GB"/>
              </w:rPr>
            </w:pPr>
          </w:p>
        </w:tc>
      </w:tr>
      <w:tr w:rsidR="00917B9F" w:rsidRPr="00C01DA9" w:rsidTr="00087790">
        <w:trPr>
          <w:trHeight w:val="244"/>
        </w:trPr>
        <w:tc>
          <w:tcPr>
            <w:tcW w:w="8647" w:type="dxa"/>
            <w:vMerge/>
            <w:vAlign w:val="center"/>
            <w:hideMark/>
          </w:tcPr>
          <w:p w:rsidR="00917B9F" w:rsidRPr="00C01DA9" w:rsidRDefault="00917B9F" w:rsidP="00087790">
            <w:pPr>
              <w:spacing w:after="0" w:line="240" w:lineRule="auto"/>
              <w:jc w:val="both"/>
              <w:rPr>
                <w:rFonts w:ascii="Times New Roman" w:eastAsia="Times New Roman" w:hAnsi="Times New Roman" w:cs="Times New Roman"/>
                <w:sz w:val="18"/>
                <w:szCs w:val="18"/>
                <w:lang w:eastAsia="en-GB"/>
              </w:rPr>
            </w:pPr>
          </w:p>
        </w:tc>
      </w:tr>
    </w:tbl>
    <w:p w:rsidR="00917B9F" w:rsidRDefault="00917B9F" w:rsidP="00917B9F">
      <w:pPr>
        <w:pStyle w:val="ListParagraph"/>
        <w:spacing w:after="0" w:line="240" w:lineRule="auto"/>
        <w:ind w:left="709"/>
        <w:jc w:val="both"/>
        <w:rPr>
          <w:rFonts w:ascii="Times New Roman" w:hAnsi="Times New Roman" w:cs="Times New Roman"/>
          <w:sz w:val="24"/>
          <w:szCs w:val="24"/>
        </w:rPr>
      </w:pPr>
    </w:p>
    <w:p w:rsidR="009B36FF" w:rsidRDefault="009B36FF"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Where the AIFM has assumed exposure to </w:t>
      </w:r>
      <w:r w:rsidRPr="00C121D4">
        <w:rPr>
          <w:rFonts w:ascii="Times New Roman" w:hAnsi="Times New Roman" w:cs="Times New Roman"/>
          <w:sz w:val="24"/>
          <w:szCs w:val="24"/>
        </w:rPr>
        <w:t>a material value of credit risk</w:t>
      </w:r>
      <w:r w:rsidR="00F167BD" w:rsidRPr="00C121D4">
        <w:rPr>
          <w:rFonts w:ascii="Times New Roman" w:hAnsi="Times New Roman" w:cs="Times New Roman"/>
          <w:sz w:val="24"/>
          <w:szCs w:val="24"/>
        </w:rPr>
        <w:t xml:space="preserve"> of securitisation</w:t>
      </w:r>
      <w:r w:rsidR="00F167BD">
        <w:rPr>
          <w:rFonts w:ascii="Times New Roman" w:hAnsi="Times New Roman" w:cs="Times New Roman"/>
          <w:sz w:val="24"/>
          <w:szCs w:val="24"/>
        </w:rPr>
        <w:t>:</w:t>
      </w:r>
      <w:r>
        <w:rPr>
          <w:rFonts w:ascii="Times New Roman" w:hAnsi="Times New Roman" w:cs="Times New Roman"/>
          <w:sz w:val="24"/>
          <w:szCs w:val="24"/>
        </w:rPr>
        <w:t xml:space="preserve"> </w:t>
      </w:r>
    </w:p>
    <w:p w:rsidR="009B36FF" w:rsidRDefault="009B36FF" w:rsidP="009B36FF">
      <w:pPr>
        <w:pStyle w:val="ListParagraph"/>
        <w:spacing w:after="0" w:line="240" w:lineRule="auto"/>
        <w:ind w:left="709"/>
        <w:jc w:val="both"/>
        <w:rPr>
          <w:rFonts w:ascii="Times New Roman" w:hAnsi="Times New Roman" w:cs="Times New Roman"/>
          <w:sz w:val="24"/>
          <w:szCs w:val="24"/>
        </w:rPr>
      </w:pPr>
    </w:p>
    <w:p w:rsidR="009B36FF" w:rsidRDefault="00F167BD" w:rsidP="00F167BD">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B36FF">
        <w:rPr>
          <w:rFonts w:ascii="Times New Roman" w:hAnsi="Times New Roman" w:cs="Times New Roman"/>
          <w:sz w:val="24"/>
          <w:szCs w:val="24"/>
        </w:rPr>
        <w:t xml:space="preserve">utline what monitoring procedures are in place </w:t>
      </w:r>
      <w:r w:rsidR="00545F1E">
        <w:rPr>
          <w:rFonts w:ascii="Times New Roman" w:hAnsi="Times New Roman" w:cs="Times New Roman"/>
          <w:sz w:val="24"/>
          <w:szCs w:val="24"/>
        </w:rPr>
        <w:t>(</w:t>
      </w:r>
      <w:r w:rsidR="009B36FF">
        <w:rPr>
          <w:rFonts w:ascii="Times New Roman" w:hAnsi="Times New Roman" w:cs="Times New Roman"/>
          <w:sz w:val="24"/>
          <w:szCs w:val="24"/>
        </w:rPr>
        <w:t>commensurate with the risk profile of the relevant AIF in relation to the credit risk of a securitisation position</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in order to enable the AIFM to monitor</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on an on-going basis and in a timely manner</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performance information on the exposures underlying such securitisation positions</w:t>
      </w:r>
      <w:r w:rsidR="00B653A7">
        <w:rPr>
          <w:rFonts w:ascii="Times New Roman" w:hAnsi="Times New Roman" w:cs="Times New Roman"/>
          <w:sz w:val="24"/>
          <w:szCs w:val="24"/>
        </w:rPr>
        <w:t>;</w:t>
      </w:r>
      <w:r w:rsidR="009B36FF">
        <w:rPr>
          <w:rFonts w:ascii="Times New Roman" w:hAnsi="Times New Roman" w:cs="Times New Roman"/>
          <w:sz w:val="24"/>
          <w:szCs w:val="24"/>
        </w:rPr>
        <w:t xml:space="preserve"> </w:t>
      </w:r>
    </w:p>
    <w:p w:rsidR="00F167BD" w:rsidRDefault="00F167BD" w:rsidP="00F167BD">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F167BD" w:rsidRPr="00C01DA9" w:rsidTr="00087790">
        <w:trPr>
          <w:trHeight w:val="207"/>
        </w:trPr>
        <w:tc>
          <w:tcPr>
            <w:tcW w:w="8647" w:type="dxa"/>
            <w:vMerge w:val="restart"/>
            <w:shd w:val="clear" w:color="000000" w:fill="FFFF00"/>
            <w:hideMark/>
          </w:tcPr>
          <w:p w:rsidR="00F167BD" w:rsidRDefault="00F167BD" w:rsidP="00087790">
            <w:pPr>
              <w:spacing w:after="0" w:line="240" w:lineRule="auto"/>
              <w:jc w:val="both"/>
              <w:rPr>
                <w:rFonts w:ascii="Times New Roman" w:eastAsia="Times New Roman" w:hAnsi="Times New Roman" w:cs="Times New Roman"/>
                <w:sz w:val="24"/>
                <w:szCs w:val="24"/>
                <w:lang w:eastAsia="en-GB"/>
              </w:rPr>
            </w:pPr>
          </w:p>
          <w:p w:rsidR="00F167BD"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F167BD" w:rsidRPr="008E31CE" w:rsidRDefault="00F167BD" w:rsidP="00087790">
            <w:pPr>
              <w:spacing w:after="0" w:line="240" w:lineRule="auto"/>
              <w:jc w:val="both"/>
              <w:rPr>
                <w:rFonts w:ascii="Times New Roman" w:eastAsia="Times New Roman" w:hAnsi="Times New Roman" w:cs="Times New Roman"/>
                <w:sz w:val="24"/>
                <w:szCs w:val="24"/>
                <w:lang w:eastAsia="en-GB"/>
              </w:rPr>
            </w:pPr>
          </w:p>
          <w:p w:rsidR="00F167BD" w:rsidRPr="00C01DA9" w:rsidRDefault="00F167BD" w:rsidP="00087790">
            <w:pPr>
              <w:spacing w:after="0" w:line="240" w:lineRule="auto"/>
              <w:jc w:val="both"/>
              <w:rPr>
                <w:rFonts w:ascii="Times New Roman" w:eastAsia="Times New Roman" w:hAnsi="Times New Roman" w:cs="Times New Roman"/>
                <w:sz w:val="18"/>
                <w:szCs w:val="18"/>
                <w:lang w:eastAsia="en-GB"/>
              </w:rPr>
            </w:pPr>
          </w:p>
        </w:tc>
      </w:tr>
      <w:tr w:rsidR="00F167BD" w:rsidRPr="00C01DA9" w:rsidTr="00087790">
        <w:trPr>
          <w:trHeight w:val="244"/>
        </w:trPr>
        <w:tc>
          <w:tcPr>
            <w:tcW w:w="8647" w:type="dxa"/>
            <w:vMerge/>
            <w:vAlign w:val="center"/>
            <w:hideMark/>
          </w:tcPr>
          <w:p w:rsidR="00F167BD" w:rsidRPr="00C01DA9" w:rsidRDefault="00F167BD" w:rsidP="00087790">
            <w:pPr>
              <w:spacing w:after="0" w:line="240" w:lineRule="auto"/>
              <w:jc w:val="both"/>
              <w:rPr>
                <w:rFonts w:ascii="Times New Roman" w:eastAsia="Times New Roman" w:hAnsi="Times New Roman" w:cs="Times New Roman"/>
                <w:sz w:val="18"/>
                <w:szCs w:val="18"/>
                <w:lang w:eastAsia="en-GB"/>
              </w:rPr>
            </w:pPr>
          </w:p>
        </w:tc>
      </w:tr>
    </w:tbl>
    <w:p w:rsidR="00F167BD" w:rsidRDefault="00F167BD" w:rsidP="009B36FF">
      <w:pPr>
        <w:pStyle w:val="ListParagraph"/>
        <w:spacing w:after="0" w:line="240" w:lineRule="auto"/>
        <w:ind w:left="709"/>
        <w:jc w:val="both"/>
        <w:rPr>
          <w:rFonts w:ascii="Times New Roman" w:hAnsi="Times New Roman" w:cs="Times New Roman"/>
          <w:sz w:val="24"/>
          <w:szCs w:val="24"/>
        </w:rPr>
      </w:pPr>
    </w:p>
    <w:p w:rsidR="00F167BD" w:rsidRPr="00B3631C" w:rsidRDefault="00F167BD" w:rsidP="00F167BD">
      <w:pPr>
        <w:pStyle w:val="ListParagraph"/>
        <w:numPr>
          <w:ilvl w:val="0"/>
          <w:numId w:val="35"/>
        </w:numPr>
        <w:spacing w:after="0" w:line="240" w:lineRule="auto"/>
        <w:jc w:val="both"/>
        <w:rPr>
          <w:rFonts w:ascii="Times New Roman" w:hAnsi="Times New Roman" w:cs="Times New Roman"/>
          <w:sz w:val="24"/>
          <w:szCs w:val="24"/>
        </w:rPr>
      </w:pPr>
      <w:r w:rsidRPr="00C121D4">
        <w:rPr>
          <w:rFonts w:ascii="Times New Roman" w:hAnsi="Times New Roman" w:cs="Times New Roman"/>
          <w:sz w:val="24"/>
          <w:szCs w:val="24"/>
        </w:rPr>
        <w:t>outline what arrangements are in place to identify, measure , manage, control and report the risks that arise because of mismatches between the assets and liabilities of the relevant AIF, concentration risk or investment risk arising from these instruments</w:t>
      </w:r>
      <w:r w:rsidR="00B653A7" w:rsidRPr="00B3631C">
        <w:rPr>
          <w:rFonts w:ascii="Times New Roman" w:hAnsi="Times New Roman" w:cs="Times New Roman"/>
          <w:sz w:val="24"/>
          <w:szCs w:val="24"/>
        </w:rPr>
        <w:t>;</w:t>
      </w:r>
    </w:p>
    <w:p w:rsidR="00C121D4" w:rsidRDefault="00C121D4" w:rsidP="00B3631C">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C121D4" w:rsidRPr="00C01DA9" w:rsidTr="00772AC8">
        <w:trPr>
          <w:trHeight w:val="207"/>
        </w:trPr>
        <w:tc>
          <w:tcPr>
            <w:tcW w:w="8647" w:type="dxa"/>
            <w:vMerge w:val="restart"/>
            <w:shd w:val="clear" w:color="000000" w:fill="FFFF00"/>
            <w:hideMark/>
          </w:tcPr>
          <w:p w:rsidR="00C121D4" w:rsidRDefault="00C121D4" w:rsidP="00772AC8">
            <w:pPr>
              <w:spacing w:after="0" w:line="240" w:lineRule="auto"/>
              <w:jc w:val="both"/>
              <w:rPr>
                <w:rFonts w:ascii="Times New Roman" w:eastAsia="Times New Roman" w:hAnsi="Times New Roman" w:cs="Times New Roman"/>
                <w:sz w:val="24"/>
                <w:szCs w:val="24"/>
                <w:lang w:eastAsia="en-GB"/>
              </w:rPr>
            </w:pPr>
          </w:p>
          <w:p w:rsidR="00C121D4" w:rsidRDefault="007B319D" w:rsidP="00772AC8">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C121D4" w:rsidRPr="008E31CE" w:rsidRDefault="00C121D4" w:rsidP="00772AC8">
            <w:pPr>
              <w:spacing w:after="0" w:line="240" w:lineRule="auto"/>
              <w:jc w:val="both"/>
              <w:rPr>
                <w:rFonts w:ascii="Times New Roman" w:eastAsia="Times New Roman" w:hAnsi="Times New Roman" w:cs="Times New Roman"/>
                <w:sz w:val="24"/>
                <w:szCs w:val="24"/>
                <w:lang w:eastAsia="en-GB"/>
              </w:rPr>
            </w:pPr>
          </w:p>
          <w:p w:rsidR="00C121D4" w:rsidRPr="00C01DA9" w:rsidRDefault="00C121D4" w:rsidP="00772AC8">
            <w:pPr>
              <w:spacing w:after="0" w:line="240" w:lineRule="auto"/>
              <w:jc w:val="both"/>
              <w:rPr>
                <w:rFonts w:ascii="Times New Roman" w:eastAsia="Times New Roman" w:hAnsi="Times New Roman" w:cs="Times New Roman"/>
                <w:sz w:val="18"/>
                <w:szCs w:val="18"/>
                <w:lang w:eastAsia="en-GB"/>
              </w:rPr>
            </w:pPr>
          </w:p>
        </w:tc>
      </w:tr>
      <w:tr w:rsidR="00C121D4" w:rsidRPr="00C01DA9" w:rsidTr="00772AC8">
        <w:trPr>
          <w:trHeight w:val="244"/>
        </w:trPr>
        <w:tc>
          <w:tcPr>
            <w:tcW w:w="8647" w:type="dxa"/>
            <w:vMerge/>
            <w:vAlign w:val="center"/>
            <w:hideMark/>
          </w:tcPr>
          <w:p w:rsidR="00C121D4" w:rsidRPr="00C01DA9" w:rsidRDefault="00C121D4" w:rsidP="00772AC8">
            <w:pPr>
              <w:spacing w:after="0" w:line="240" w:lineRule="auto"/>
              <w:jc w:val="both"/>
              <w:rPr>
                <w:rFonts w:ascii="Times New Roman" w:eastAsia="Times New Roman" w:hAnsi="Times New Roman" w:cs="Times New Roman"/>
                <w:sz w:val="18"/>
                <w:szCs w:val="18"/>
                <w:lang w:eastAsia="en-GB"/>
              </w:rPr>
            </w:pPr>
          </w:p>
        </w:tc>
      </w:tr>
    </w:tbl>
    <w:p w:rsidR="00B653A7" w:rsidRDefault="00B653A7" w:rsidP="00B3631C">
      <w:pPr>
        <w:pStyle w:val="ListParagraph"/>
        <w:spacing w:after="0" w:line="240" w:lineRule="auto"/>
        <w:ind w:left="1429"/>
        <w:jc w:val="both"/>
        <w:rPr>
          <w:rFonts w:ascii="Times New Roman" w:hAnsi="Times New Roman" w:cs="Times New Roman"/>
          <w:sz w:val="24"/>
          <w:szCs w:val="24"/>
          <w:highlight w:val="yellow"/>
        </w:rPr>
      </w:pPr>
    </w:p>
    <w:p w:rsidR="00CD634D" w:rsidRPr="001D3A7C" w:rsidRDefault="0068473A" w:rsidP="001D3A7C">
      <w:pPr>
        <w:pStyle w:val="ListParagraph"/>
        <w:numPr>
          <w:ilvl w:val="0"/>
          <w:numId w:val="35"/>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00CD634D" w:rsidRPr="001D3A7C">
        <w:rPr>
          <w:rFonts w:ascii="Times New Roman" w:hAnsi="Times New Roman" w:cs="Times New Roman"/>
          <w:sz w:val="24"/>
          <w:szCs w:val="24"/>
        </w:rPr>
        <w:t>ndicate</w:t>
      </w:r>
      <w:proofErr w:type="gramEnd"/>
      <w:r w:rsidR="00CD634D" w:rsidRPr="001D3A7C">
        <w:rPr>
          <w:rFonts w:ascii="Times New Roman" w:hAnsi="Times New Roman" w:cs="Times New Roman"/>
          <w:sz w:val="24"/>
          <w:szCs w:val="24"/>
        </w:rPr>
        <w:t xml:space="preserve"> the percentage of material net economic interest retained by the originator, sponsor or original lender on an on-going basis as specifically disclosed to the AIFM</w:t>
      </w:r>
      <w:r w:rsidR="008E4363">
        <w:rPr>
          <w:rFonts w:ascii="Times New Roman" w:hAnsi="Times New Roman" w:cs="Times New Roman"/>
          <w:sz w:val="24"/>
          <w:szCs w:val="24"/>
        </w:rPr>
        <w:t>.</w:t>
      </w:r>
      <w:r w:rsidR="00CD634D" w:rsidRPr="00F167BD">
        <w:rPr>
          <w:rStyle w:val="FootnoteReference"/>
          <w:rFonts w:ascii="Times New Roman" w:hAnsi="Times New Roman" w:cs="Times New Roman"/>
          <w:sz w:val="24"/>
          <w:szCs w:val="24"/>
        </w:rPr>
        <w:footnoteReference w:id="4"/>
      </w:r>
    </w:p>
    <w:p w:rsidR="00CD634D" w:rsidRPr="00F167BD" w:rsidRDefault="00CD634D" w:rsidP="00CD634D">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CD634D" w:rsidRPr="00F167BD" w:rsidTr="00087790">
        <w:trPr>
          <w:trHeight w:val="207"/>
        </w:trPr>
        <w:tc>
          <w:tcPr>
            <w:tcW w:w="8647" w:type="dxa"/>
            <w:vMerge w:val="restart"/>
            <w:shd w:val="clear" w:color="000000" w:fill="FFFF00"/>
            <w:hideMark/>
          </w:tcPr>
          <w:p w:rsidR="00CD634D" w:rsidRPr="00F167BD" w:rsidRDefault="00CD634D" w:rsidP="00087790">
            <w:pPr>
              <w:spacing w:after="0" w:line="240" w:lineRule="auto"/>
              <w:jc w:val="both"/>
              <w:rPr>
                <w:rFonts w:ascii="Times New Roman" w:eastAsia="Times New Roman" w:hAnsi="Times New Roman" w:cs="Times New Roman"/>
                <w:sz w:val="24"/>
                <w:szCs w:val="24"/>
                <w:lang w:eastAsia="en-GB"/>
              </w:rPr>
            </w:pPr>
          </w:p>
          <w:p w:rsidR="00CD634D" w:rsidRDefault="007B319D" w:rsidP="00087790">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F167BD" w:rsidRDefault="007B319D" w:rsidP="00087790">
            <w:pPr>
              <w:spacing w:after="0" w:line="240" w:lineRule="auto"/>
              <w:jc w:val="both"/>
              <w:rPr>
                <w:rFonts w:ascii="Times New Roman" w:eastAsia="Times New Roman" w:hAnsi="Times New Roman" w:cs="Times New Roman"/>
                <w:sz w:val="24"/>
                <w:szCs w:val="24"/>
                <w:lang w:eastAsia="en-GB"/>
              </w:rPr>
            </w:pPr>
          </w:p>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r w:rsidR="00F167BD" w:rsidRPr="00F167BD" w:rsidTr="00087790">
        <w:trPr>
          <w:trHeight w:val="244"/>
        </w:trPr>
        <w:tc>
          <w:tcPr>
            <w:tcW w:w="8647" w:type="dxa"/>
            <w:vMerge/>
            <w:vAlign w:val="center"/>
            <w:hideMark/>
          </w:tcPr>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bl>
    <w:p w:rsidR="00CD634D" w:rsidRPr="00F167BD" w:rsidRDefault="00CD634D" w:rsidP="00CD634D">
      <w:pPr>
        <w:pStyle w:val="ListParagraph"/>
        <w:spacing w:after="0" w:line="240" w:lineRule="auto"/>
        <w:ind w:left="709"/>
        <w:jc w:val="both"/>
        <w:rPr>
          <w:rFonts w:ascii="Times New Roman" w:hAnsi="Times New Roman" w:cs="Times New Roman"/>
          <w:b/>
          <w:i/>
          <w:sz w:val="24"/>
          <w:szCs w:val="24"/>
        </w:rPr>
      </w:pPr>
    </w:p>
    <w:p w:rsidR="00CD634D" w:rsidRPr="00F167BD" w:rsidRDefault="00CD634D"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sidRPr="00F167BD">
        <w:rPr>
          <w:rFonts w:ascii="Times New Roman" w:hAnsi="Times New Roman" w:cs="Times New Roman"/>
          <w:sz w:val="24"/>
          <w:szCs w:val="24"/>
        </w:rPr>
        <w:t xml:space="preserve">Specify the frequency of stress testing of the securitisation positions </w:t>
      </w:r>
      <w:r w:rsidR="00F167BD">
        <w:rPr>
          <w:rFonts w:ascii="Times New Roman" w:hAnsi="Times New Roman" w:cs="Times New Roman"/>
          <w:sz w:val="24"/>
          <w:szCs w:val="24"/>
        </w:rPr>
        <w:t>in terms of Article 53(2) of the Commission Delegated Regulation</w:t>
      </w:r>
      <w:r w:rsidR="00B653A7">
        <w:rPr>
          <w:rFonts w:ascii="Times New Roman" w:hAnsi="Times New Roman" w:cs="Times New Roman"/>
          <w:sz w:val="24"/>
          <w:szCs w:val="24"/>
        </w:rPr>
        <w:t>.</w:t>
      </w:r>
      <w:r w:rsidRPr="00F167BD">
        <w:rPr>
          <w:rFonts w:ascii="Times New Roman" w:hAnsi="Times New Roman" w:cs="Times New Roman"/>
          <w:sz w:val="24"/>
          <w:szCs w:val="24"/>
        </w:rPr>
        <w:t xml:space="preserve"> </w:t>
      </w:r>
    </w:p>
    <w:p w:rsidR="00CD634D" w:rsidRPr="00F167BD" w:rsidRDefault="00CD634D" w:rsidP="00CD634D">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F167BD" w:rsidRPr="00F167BD" w:rsidTr="00087790">
        <w:trPr>
          <w:trHeight w:val="207"/>
        </w:trPr>
        <w:tc>
          <w:tcPr>
            <w:tcW w:w="8647" w:type="dxa"/>
            <w:vMerge w:val="restart"/>
            <w:shd w:val="clear" w:color="000000" w:fill="FFFF00"/>
            <w:hideMark/>
          </w:tcPr>
          <w:p w:rsidR="00CD634D" w:rsidRPr="00F167BD" w:rsidRDefault="00CD634D" w:rsidP="00087790">
            <w:pPr>
              <w:spacing w:after="0" w:line="240" w:lineRule="auto"/>
              <w:jc w:val="both"/>
              <w:rPr>
                <w:rFonts w:ascii="Times New Roman" w:eastAsia="Times New Roman" w:hAnsi="Times New Roman" w:cs="Times New Roman"/>
                <w:sz w:val="24"/>
                <w:szCs w:val="24"/>
                <w:lang w:eastAsia="en-GB"/>
              </w:rPr>
            </w:pPr>
          </w:p>
          <w:p w:rsidR="00CD634D" w:rsidRDefault="007B319D" w:rsidP="00087790">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68473A" w:rsidRDefault="0068473A" w:rsidP="00087790">
            <w:pPr>
              <w:spacing w:after="0" w:line="240" w:lineRule="auto"/>
              <w:jc w:val="both"/>
              <w:rPr>
                <w:rFonts w:ascii="Arial" w:hAnsi="Arial"/>
                <w:szCs w:val="24"/>
              </w:rPr>
            </w:pPr>
          </w:p>
          <w:p w:rsidR="0068473A" w:rsidRDefault="0068473A" w:rsidP="00087790">
            <w:pPr>
              <w:spacing w:after="0" w:line="240" w:lineRule="auto"/>
              <w:jc w:val="both"/>
              <w:rPr>
                <w:rFonts w:ascii="Arial" w:hAnsi="Arial"/>
                <w:szCs w:val="24"/>
              </w:rPr>
            </w:pPr>
          </w:p>
          <w:p w:rsidR="007B319D" w:rsidRPr="00F167BD" w:rsidRDefault="007B319D" w:rsidP="00087790">
            <w:pPr>
              <w:spacing w:after="0" w:line="240" w:lineRule="auto"/>
              <w:jc w:val="both"/>
              <w:rPr>
                <w:rFonts w:ascii="Times New Roman" w:eastAsia="Times New Roman" w:hAnsi="Times New Roman" w:cs="Times New Roman"/>
                <w:sz w:val="24"/>
                <w:szCs w:val="24"/>
                <w:lang w:eastAsia="en-GB"/>
              </w:rPr>
            </w:pPr>
          </w:p>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r w:rsidR="00F167BD" w:rsidRPr="00F167BD" w:rsidTr="00087790">
        <w:trPr>
          <w:trHeight w:val="244"/>
        </w:trPr>
        <w:tc>
          <w:tcPr>
            <w:tcW w:w="8647" w:type="dxa"/>
            <w:vMerge/>
            <w:vAlign w:val="center"/>
            <w:hideMark/>
          </w:tcPr>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bl>
    <w:p w:rsidR="005759C5" w:rsidRPr="00F167BD"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DA31D1" w:rsidRDefault="00DA31D1" w:rsidP="009F7893">
      <w:pPr>
        <w:spacing w:line="240" w:lineRule="auto"/>
        <w:ind w:left="142"/>
        <w:jc w:val="center"/>
        <w:rPr>
          <w:rFonts w:ascii="Times New Roman" w:hAnsi="Times New Roman" w:cs="Times New Roman"/>
          <w:b/>
          <w:bCs/>
          <w:sz w:val="26"/>
          <w:szCs w:val="26"/>
        </w:rPr>
      </w:pPr>
    </w:p>
    <w:p w:rsidR="00DA31D1" w:rsidRDefault="00DA31D1"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9B36FF" w:rsidRDefault="009B36FF" w:rsidP="009F7893">
      <w:pPr>
        <w:spacing w:line="240" w:lineRule="auto"/>
        <w:ind w:left="142"/>
        <w:jc w:val="center"/>
        <w:rPr>
          <w:rFonts w:ascii="Times New Roman" w:hAnsi="Times New Roman" w:cs="Times New Roman"/>
          <w:b/>
          <w:bCs/>
          <w:sz w:val="26"/>
          <w:szCs w:val="26"/>
        </w:rPr>
      </w:pPr>
    </w:p>
    <w:p w:rsidR="009F7893" w:rsidRDefault="009F7893" w:rsidP="009F7893">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9:</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Valuation  </w:t>
      </w:r>
    </w:p>
    <w:p w:rsidR="00576205" w:rsidRPr="00FE6778" w:rsidRDefault="009F7893" w:rsidP="00576205">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This section deals with the valuation policies and procedures for </w:t>
      </w:r>
      <w:r w:rsidR="00B653A7" w:rsidRPr="00FE6778">
        <w:rPr>
          <w:rFonts w:ascii="Times New Roman" w:hAnsi="Times New Roman" w:cs="Times New Roman"/>
          <w:i/>
          <w:color w:val="808080" w:themeColor="background1" w:themeShade="80"/>
        </w:rPr>
        <w:t xml:space="preserve">the </w:t>
      </w:r>
      <w:r w:rsidRPr="00FE6778">
        <w:rPr>
          <w:rFonts w:ascii="Times New Roman" w:hAnsi="Times New Roman" w:cs="Times New Roman"/>
          <w:i/>
          <w:color w:val="808080" w:themeColor="background1" w:themeShade="80"/>
        </w:rPr>
        <w:t>AIF in accordance with Article 19 of the Directive and Chapter III</w:t>
      </w:r>
      <w:r w:rsidRPr="00FE6778">
        <w:rPr>
          <w:rFonts w:ascii="Times New Roman" w:hAnsi="Times New Roman" w:cs="Times New Roman"/>
          <w:b/>
          <w:i/>
          <w:color w:val="808080" w:themeColor="background1" w:themeShade="80"/>
        </w:rPr>
        <w:t xml:space="preserve"> </w:t>
      </w:r>
      <w:r w:rsidRPr="00FE6778">
        <w:rPr>
          <w:rFonts w:ascii="Times New Roman" w:hAnsi="Times New Roman" w:cs="Times New Roman"/>
          <w:i/>
          <w:color w:val="808080" w:themeColor="background1" w:themeShade="80"/>
        </w:rPr>
        <w:t>Section 7 of the</w:t>
      </w:r>
      <w:r w:rsidR="00386C1A" w:rsidRPr="00FE6778">
        <w:rPr>
          <w:rFonts w:ascii="Times New Roman" w:hAnsi="Times New Roman" w:cs="Times New Roman"/>
          <w:i/>
          <w:color w:val="808080" w:themeColor="background1" w:themeShade="80"/>
        </w:rPr>
        <w:t xml:space="preserve"> Commission Delegated Regulation</w:t>
      </w:r>
      <w:r w:rsidR="00B653A7" w:rsidRPr="00FE6778">
        <w:rPr>
          <w:rFonts w:ascii="Times New Roman" w:hAnsi="Times New Roman" w:cs="Times New Roman"/>
          <w:i/>
          <w:color w:val="808080" w:themeColor="background1" w:themeShade="80"/>
        </w:rPr>
        <w:t>.</w:t>
      </w:r>
    </w:p>
    <w:p w:rsidR="00576205" w:rsidRPr="00FE6778" w:rsidRDefault="00576205" w:rsidP="00576205">
      <w:pPr>
        <w:pStyle w:val="ListParagraph"/>
        <w:tabs>
          <w:tab w:val="left" w:pos="8789"/>
          <w:tab w:val="left" w:pos="9214"/>
        </w:tabs>
        <w:jc w:val="both"/>
        <w:rPr>
          <w:rFonts w:ascii="Times New Roman" w:hAnsi="Times New Roman" w:cs="Times New Roman"/>
          <w:i/>
          <w:color w:val="808080" w:themeColor="background1" w:themeShade="80"/>
        </w:rPr>
      </w:pPr>
    </w:p>
    <w:p w:rsidR="00576205" w:rsidRPr="00FE6778" w:rsidRDefault="00576205" w:rsidP="00576205">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w:t>
      </w:r>
      <w:r w:rsidR="007E0D14" w:rsidRPr="00FE6778">
        <w:rPr>
          <w:rFonts w:ascii="Times New Roman" w:hAnsi="Times New Roman" w:cs="Times New Roman"/>
          <w:i/>
          <w:color w:val="808080" w:themeColor="background1" w:themeShade="80"/>
        </w:rPr>
        <w:t xml:space="preserve"> should be completed by internally managed AIFs and Fund Managers (including UCITS Management companies</w:t>
      </w:r>
      <w:r w:rsidR="00EC1F3D">
        <w:rPr>
          <w:rFonts w:ascii="Times New Roman" w:hAnsi="Times New Roman" w:cs="Times New Roman"/>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7E0D14" w:rsidRPr="00FE6778">
        <w:rPr>
          <w:rFonts w:ascii="Times New Roman" w:hAnsi="Times New Roman" w:cs="Times New Roman"/>
          <w:i/>
          <w:color w:val="808080" w:themeColor="background1" w:themeShade="80"/>
        </w:rPr>
        <w:t>)</w:t>
      </w:r>
      <w:r w:rsidR="00B653A7" w:rsidRPr="00FE6778">
        <w:rPr>
          <w:rFonts w:ascii="Times New Roman" w:hAnsi="Times New Roman" w:cs="Times New Roman"/>
          <w:i/>
          <w:color w:val="808080" w:themeColor="background1" w:themeShade="80"/>
        </w:rPr>
        <w:t>.</w:t>
      </w:r>
      <w:r w:rsidR="007E0D14" w:rsidRPr="00FE6778">
        <w:rPr>
          <w:rFonts w:ascii="Times New Roman" w:hAnsi="Times New Roman" w:cs="Times New Roman"/>
          <w:i/>
          <w:color w:val="808080" w:themeColor="background1" w:themeShade="80"/>
        </w:rPr>
        <w:t xml:space="preserve"> </w:t>
      </w:r>
    </w:p>
    <w:p w:rsidR="00576205" w:rsidRPr="00B3631C" w:rsidRDefault="00576205" w:rsidP="00B3631C">
      <w:pPr>
        <w:pStyle w:val="ListParagraph"/>
        <w:spacing w:after="0" w:line="240" w:lineRule="auto"/>
        <w:ind w:left="709"/>
        <w:jc w:val="both"/>
        <w:rPr>
          <w:rFonts w:ascii="Times New Roman" w:hAnsi="Times New Roman" w:cs="Times New Roman"/>
          <w:sz w:val="24"/>
          <w:szCs w:val="24"/>
        </w:rPr>
      </w:pPr>
    </w:p>
    <w:p w:rsidR="003E4CA0" w:rsidRDefault="003E4CA0" w:rsidP="00B3631C">
      <w:pPr>
        <w:pStyle w:val="ListParagraph"/>
        <w:numPr>
          <w:ilvl w:val="1"/>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The AIFM is to have in place appropriate and consistent procedures for each AIF for proper and independent valuation of assets.  The valuation policies and procedures for each type of asset that the AIF may invest in should be in line with Article 19 of the Directive and Articles 67 – 74 of the Commission Delegated Regulation. The AIFM should provide a </w:t>
      </w:r>
      <w:r w:rsidRPr="0037397A">
        <w:rPr>
          <w:rFonts w:ascii="Times New Roman" w:hAnsi="Times New Roman" w:cs="Times New Roman"/>
          <w:sz w:val="24"/>
          <w:szCs w:val="24"/>
        </w:rPr>
        <w:t xml:space="preserve">declaration </w:t>
      </w:r>
      <w:r>
        <w:rPr>
          <w:rFonts w:ascii="Times New Roman" w:hAnsi="Times New Roman" w:cs="Times New Roman"/>
          <w:sz w:val="24"/>
          <w:szCs w:val="24"/>
        </w:rPr>
        <w:t>to this effect whilst also confirming</w:t>
      </w:r>
      <w:r w:rsidRPr="0037397A">
        <w:rPr>
          <w:rFonts w:ascii="Times New Roman" w:hAnsi="Times New Roman" w:cs="Times New Roman"/>
          <w:sz w:val="24"/>
          <w:szCs w:val="24"/>
        </w:rPr>
        <w:t xml:space="preserve"> that the valuation policies:</w:t>
      </w:r>
    </w:p>
    <w:p w:rsidR="00CD1A86" w:rsidRPr="00B3631C" w:rsidRDefault="00CD1A86">
      <w:pPr>
        <w:pStyle w:val="ListParagraph"/>
        <w:spacing w:after="0" w:line="240" w:lineRule="auto"/>
        <w:ind w:left="709"/>
        <w:jc w:val="both"/>
        <w:rPr>
          <w:rFonts w:ascii="Times New Roman" w:hAnsi="Times New Roman" w:cs="Times New Roman"/>
          <w:sz w:val="24"/>
          <w:szCs w:val="24"/>
        </w:rPr>
      </w:pPr>
    </w:p>
    <w:p w:rsidR="009F7893" w:rsidRPr="00B707F4" w:rsidRDefault="000E2308"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e</w:t>
      </w:r>
      <w:r w:rsidR="009F7893" w:rsidRPr="00B707F4">
        <w:rPr>
          <w:rFonts w:ascii="Times New Roman" w:hAnsi="Times New Roman" w:cs="Times New Roman"/>
          <w:sz w:val="24"/>
          <w:szCs w:val="24"/>
        </w:rPr>
        <w:t>nsure a fair</w:t>
      </w:r>
      <w:r w:rsidR="00677623">
        <w:rPr>
          <w:rFonts w:ascii="Times New Roman" w:hAnsi="Times New Roman" w:cs="Times New Roman"/>
          <w:sz w:val="24"/>
          <w:szCs w:val="24"/>
        </w:rPr>
        <w:t>,</w:t>
      </w:r>
      <w:r w:rsidR="009F7893" w:rsidRPr="00B707F4">
        <w:rPr>
          <w:rFonts w:ascii="Times New Roman" w:hAnsi="Times New Roman" w:cs="Times New Roman"/>
          <w:sz w:val="24"/>
          <w:szCs w:val="24"/>
        </w:rPr>
        <w:t xml:space="preserve"> appropriate and transparent valuation methodology for each type of asset, in accordance with applicable national law,</w:t>
      </w:r>
      <w:r w:rsidR="00F35F96">
        <w:rPr>
          <w:rFonts w:ascii="Times New Roman" w:hAnsi="Times New Roman" w:cs="Times New Roman"/>
          <w:sz w:val="24"/>
          <w:szCs w:val="24"/>
        </w:rPr>
        <w:t xml:space="preserve"> with</w:t>
      </w:r>
      <w:r w:rsidR="009F7893" w:rsidRPr="00B707F4">
        <w:rPr>
          <w:rFonts w:ascii="Times New Roman" w:hAnsi="Times New Roman" w:cs="Times New Roman"/>
          <w:sz w:val="24"/>
          <w:szCs w:val="24"/>
        </w:rPr>
        <w:t xml:space="preserve"> the AIF rules and</w:t>
      </w:r>
      <w:r w:rsidR="00F35F96">
        <w:rPr>
          <w:rFonts w:ascii="Times New Roman" w:hAnsi="Times New Roman" w:cs="Times New Roman"/>
          <w:sz w:val="24"/>
          <w:szCs w:val="24"/>
        </w:rPr>
        <w:t xml:space="preserve"> with</w:t>
      </w:r>
      <w:r w:rsidR="009F7893" w:rsidRPr="00B707F4">
        <w:rPr>
          <w:rFonts w:ascii="Times New Roman" w:hAnsi="Times New Roman" w:cs="Times New Roman"/>
          <w:sz w:val="24"/>
          <w:szCs w:val="24"/>
        </w:rPr>
        <w:t xml:space="preserve"> the instruments of incorporation;</w:t>
      </w:r>
    </w:p>
    <w:p w:rsidR="009F7893" w:rsidRPr="00B707F4" w:rsidRDefault="000E2308"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w:t>
      </w:r>
      <w:r w:rsidR="009F7893" w:rsidRPr="00B707F4">
        <w:rPr>
          <w:rFonts w:ascii="Times New Roman" w:hAnsi="Times New Roman" w:cs="Times New Roman"/>
          <w:sz w:val="24"/>
          <w:szCs w:val="24"/>
        </w:rPr>
        <w:t xml:space="preserve">rovide for inputs, models and selection criteria for pricing and </w:t>
      </w:r>
      <w:r w:rsidR="001C36CA">
        <w:rPr>
          <w:rFonts w:ascii="Times New Roman" w:hAnsi="Times New Roman" w:cs="Times New Roman"/>
          <w:sz w:val="24"/>
          <w:szCs w:val="24"/>
        </w:rPr>
        <w:t xml:space="preserve">for </w:t>
      </w:r>
      <w:r w:rsidR="009F7893" w:rsidRPr="00B707F4">
        <w:rPr>
          <w:rFonts w:ascii="Times New Roman" w:hAnsi="Times New Roman" w:cs="Times New Roman"/>
          <w:sz w:val="24"/>
          <w:szCs w:val="24"/>
        </w:rPr>
        <w:t>market data sources;</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w:t>
      </w:r>
      <w:r w:rsidR="009F7893" w:rsidRPr="00B707F4">
        <w:rPr>
          <w:rFonts w:ascii="Times New Roman" w:hAnsi="Times New Roman" w:cs="Times New Roman"/>
          <w:sz w:val="24"/>
          <w:szCs w:val="24"/>
        </w:rPr>
        <w:t>rovide that prices be obtained from independent sources;</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w:t>
      </w:r>
      <w:r w:rsidRPr="00B707F4">
        <w:rPr>
          <w:rFonts w:ascii="Times New Roman" w:hAnsi="Times New Roman" w:cs="Times New Roman"/>
          <w:sz w:val="24"/>
          <w:szCs w:val="24"/>
        </w:rPr>
        <w:t xml:space="preserve">ddress </w:t>
      </w:r>
      <w:r w:rsidR="009F7893" w:rsidRPr="00B707F4">
        <w:rPr>
          <w:rFonts w:ascii="Times New Roman" w:hAnsi="Times New Roman" w:cs="Times New Roman"/>
          <w:sz w:val="24"/>
          <w:szCs w:val="24"/>
        </w:rPr>
        <w:t>the competence and independence of personnel carrying out the valuation process; and</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i</w:t>
      </w:r>
      <w:r w:rsidR="009F7893" w:rsidRPr="00B707F4">
        <w:rPr>
          <w:rFonts w:ascii="Times New Roman" w:hAnsi="Times New Roman" w:cs="Times New Roman"/>
          <w:sz w:val="24"/>
          <w:szCs w:val="24"/>
        </w:rPr>
        <w:t>dentify</w:t>
      </w:r>
      <w:proofErr w:type="gramEnd"/>
      <w:r w:rsidR="009F7893" w:rsidRPr="00B707F4">
        <w:rPr>
          <w:rFonts w:ascii="Times New Roman" w:hAnsi="Times New Roman" w:cs="Times New Roman"/>
          <w:sz w:val="24"/>
          <w:szCs w:val="24"/>
        </w:rPr>
        <w:t xml:space="preserve"> the obligations</w:t>
      </w:r>
      <w:r w:rsidR="00677623">
        <w:rPr>
          <w:rFonts w:ascii="Times New Roman" w:hAnsi="Times New Roman" w:cs="Times New Roman"/>
          <w:sz w:val="24"/>
          <w:szCs w:val="24"/>
        </w:rPr>
        <w:t>,</w:t>
      </w:r>
      <w:r w:rsidR="009F7893" w:rsidRPr="00B707F4">
        <w:rPr>
          <w:rFonts w:ascii="Times New Roman" w:hAnsi="Times New Roman" w:cs="Times New Roman"/>
          <w:sz w:val="24"/>
          <w:szCs w:val="24"/>
        </w:rPr>
        <w:t xml:space="preserve"> roles and responsibilities of all parties involved in the valuation process.</w:t>
      </w:r>
    </w:p>
    <w:p w:rsidR="007B73BD" w:rsidRPr="00047C26" w:rsidRDefault="007B73BD" w:rsidP="007B73BD">
      <w:pPr>
        <w:pStyle w:val="ListParagraph"/>
        <w:spacing w:after="0" w:line="240" w:lineRule="auto"/>
        <w:ind w:left="709"/>
        <w:jc w:val="both"/>
        <w:rPr>
          <w:rFonts w:ascii="Times New Roman" w:eastAsiaTheme="majorEastAsia" w:hAnsi="Times New Roman" w:cs="Times New Roman"/>
          <w:bCs/>
          <w:color w:val="FF0000"/>
          <w:sz w:val="24"/>
          <w:szCs w:val="24"/>
        </w:rPr>
      </w:pPr>
    </w:p>
    <w:p w:rsidR="009F7893" w:rsidRPr="00677623" w:rsidRDefault="00CD1A86" w:rsidP="00B3631C">
      <w:pPr>
        <w:pStyle w:val="ListParagraph"/>
        <w:spacing w:after="0" w:line="240" w:lineRule="auto"/>
        <w:ind w:left="709"/>
        <w:jc w:val="both"/>
        <w:rPr>
          <w:rFonts w:ascii="Times New Roman" w:eastAsiaTheme="majorEastAsia" w:hAnsi="Times New Roman" w:cs="Times New Roman"/>
          <w:bCs/>
          <w:sz w:val="24"/>
          <w:szCs w:val="24"/>
        </w:rPr>
      </w:pPr>
      <w:r w:rsidRPr="00A37A35">
        <w:rPr>
          <w:rFonts w:ascii="Times New Roman" w:hAnsi="Times New Roman" w:cs="Times New Roman"/>
          <w:sz w:val="24"/>
          <w:szCs w:val="24"/>
        </w:rPr>
        <w:t>The AIFM should also c</w:t>
      </w:r>
      <w:r w:rsidR="00B707F4" w:rsidRPr="00A37A35">
        <w:rPr>
          <w:rFonts w:ascii="Times New Roman" w:hAnsi="Times New Roman" w:cs="Times New Roman"/>
          <w:sz w:val="24"/>
          <w:szCs w:val="24"/>
        </w:rPr>
        <w:t xml:space="preserve">onfirm </w:t>
      </w:r>
      <w:r w:rsidR="0010110A" w:rsidRPr="00A37A35">
        <w:rPr>
          <w:rFonts w:ascii="Times New Roman" w:hAnsi="Times New Roman" w:cs="Times New Roman"/>
          <w:sz w:val="24"/>
          <w:szCs w:val="24"/>
        </w:rPr>
        <w:t xml:space="preserve">that </w:t>
      </w:r>
      <w:r w:rsidRPr="00A37A35">
        <w:rPr>
          <w:rFonts w:ascii="Times New Roman" w:hAnsi="Times New Roman" w:cs="Times New Roman"/>
          <w:sz w:val="24"/>
          <w:szCs w:val="24"/>
        </w:rPr>
        <w:t xml:space="preserve">it has verified that </w:t>
      </w:r>
      <w:r w:rsidR="0010110A" w:rsidRPr="00A37A35">
        <w:rPr>
          <w:rFonts w:ascii="Times New Roman" w:hAnsi="Times New Roman" w:cs="Times New Roman"/>
          <w:sz w:val="24"/>
          <w:szCs w:val="24"/>
        </w:rPr>
        <w:t xml:space="preserve">the </w:t>
      </w:r>
      <w:r w:rsidR="007B73BD" w:rsidRPr="00A37A35">
        <w:rPr>
          <w:rFonts w:ascii="Times New Roman" w:hAnsi="Times New Roman" w:cs="Times New Roman"/>
          <w:sz w:val="24"/>
          <w:szCs w:val="24"/>
        </w:rPr>
        <w:t>method and frequency applied to the cal</w:t>
      </w:r>
      <w:r w:rsidR="00B707F4" w:rsidRPr="00A37A35">
        <w:rPr>
          <w:rFonts w:ascii="Times New Roman" w:hAnsi="Times New Roman" w:cs="Times New Roman"/>
          <w:sz w:val="24"/>
          <w:szCs w:val="24"/>
        </w:rPr>
        <w:t xml:space="preserve">culation and publication of the </w:t>
      </w:r>
      <w:r w:rsidR="007B73BD" w:rsidRPr="00A37A35">
        <w:rPr>
          <w:rFonts w:ascii="Times New Roman" w:hAnsi="Times New Roman" w:cs="Times New Roman"/>
          <w:sz w:val="24"/>
          <w:szCs w:val="24"/>
        </w:rPr>
        <w:t>NAV</w:t>
      </w:r>
      <w:r w:rsidR="00B707F4" w:rsidRPr="00A37A35">
        <w:rPr>
          <w:rFonts w:ascii="Times New Roman" w:hAnsi="Times New Roman" w:cs="Times New Roman"/>
          <w:sz w:val="24"/>
          <w:szCs w:val="24"/>
        </w:rPr>
        <w:t xml:space="preserve"> for the AIFs is in accordance with Articles 72 and 74 of the Commission Delegated Regulation</w:t>
      </w:r>
      <w:r w:rsidR="007B73BD" w:rsidRPr="00A37A35">
        <w:rPr>
          <w:rFonts w:ascii="Times New Roman" w:hAnsi="Times New Roman" w:cs="Times New Roman"/>
          <w:sz w:val="24"/>
          <w:szCs w:val="24"/>
        </w:rPr>
        <w:t>.</w:t>
      </w:r>
      <w:r w:rsidR="007B73BD" w:rsidRPr="00B707F4">
        <w:rPr>
          <w:rFonts w:ascii="Times New Roman" w:hAnsi="Times New Roman" w:cs="Times New Roman"/>
          <w:sz w:val="24"/>
          <w:szCs w:val="24"/>
        </w:rPr>
        <w:t xml:space="preserve"> </w:t>
      </w:r>
      <w:r w:rsidR="00B707F4" w:rsidRPr="00B707F4">
        <w:rPr>
          <w:rFonts w:ascii="Times New Roman" w:hAnsi="Times New Roman" w:cs="Times New Roman"/>
          <w:sz w:val="24"/>
          <w:szCs w:val="24"/>
        </w:rPr>
        <w:t xml:space="preserve"> </w:t>
      </w:r>
    </w:p>
    <w:p w:rsidR="007B73BD" w:rsidRDefault="007B73BD" w:rsidP="007B73BD">
      <w:pPr>
        <w:pStyle w:val="ListParagraph"/>
        <w:spacing w:after="0" w:line="240" w:lineRule="auto"/>
        <w:ind w:left="709"/>
        <w:jc w:val="both"/>
        <w:rPr>
          <w:rFonts w:ascii="Times New Roman" w:hAnsi="Times New Roman" w:cs="Times New Roman"/>
          <w:sz w:val="24"/>
          <w:szCs w:val="24"/>
        </w:rPr>
      </w:pPr>
    </w:p>
    <w:p w:rsidR="007B73BD" w:rsidRDefault="00386C1A" w:rsidP="00386C1A">
      <w:pPr>
        <w:pStyle w:val="ListParagraph"/>
        <w:numPr>
          <w:ilvl w:val="1"/>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Outline </w:t>
      </w:r>
      <w:r w:rsidR="007B73BD" w:rsidRPr="00386C1A">
        <w:rPr>
          <w:rFonts w:ascii="Times New Roman" w:hAnsi="Times New Roman" w:cs="Times New Roman"/>
          <w:sz w:val="24"/>
          <w:szCs w:val="24"/>
        </w:rPr>
        <w:t>by whom the va</w:t>
      </w:r>
      <w:r>
        <w:rPr>
          <w:rFonts w:ascii="Times New Roman" w:hAnsi="Times New Roman" w:cs="Times New Roman"/>
          <w:sz w:val="24"/>
          <w:szCs w:val="24"/>
        </w:rPr>
        <w:t xml:space="preserve">luation function </w:t>
      </w:r>
      <w:r w:rsidR="0014154C">
        <w:rPr>
          <w:rFonts w:ascii="Times New Roman" w:hAnsi="Times New Roman" w:cs="Times New Roman"/>
          <w:sz w:val="24"/>
          <w:szCs w:val="24"/>
        </w:rPr>
        <w:t xml:space="preserve">of the AIFM </w:t>
      </w:r>
      <w:r>
        <w:rPr>
          <w:rFonts w:ascii="Times New Roman" w:hAnsi="Times New Roman" w:cs="Times New Roman"/>
          <w:sz w:val="24"/>
          <w:szCs w:val="24"/>
        </w:rPr>
        <w:t xml:space="preserve">is </w:t>
      </w:r>
      <w:r w:rsidR="001D712E">
        <w:rPr>
          <w:rFonts w:ascii="Times New Roman" w:hAnsi="Times New Roman" w:cs="Times New Roman"/>
          <w:sz w:val="24"/>
          <w:szCs w:val="24"/>
        </w:rPr>
        <w:t>undertaken</w:t>
      </w:r>
      <w:r>
        <w:rPr>
          <w:rFonts w:ascii="Times New Roman" w:hAnsi="Times New Roman" w:cs="Times New Roman"/>
          <w:sz w:val="24"/>
          <w:szCs w:val="24"/>
        </w:rPr>
        <w:t>:</w:t>
      </w:r>
    </w:p>
    <w:p w:rsidR="0096530F" w:rsidRPr="00386C1A" w:rsidRDefault="0096530F" w:rsidP="0096530F">
      <w:pPr>
        <w:pStyle w:val="ListParagraph"/>
        <w:spacing w:after="0" w:line="240" w:lineRule="auto"/>
        <w:ind w:left="709"/>
        <w:jc w:val="both"/>
        <w:rPr>
          <w:rFonts w:ascii="Times New Roman" w:hAnsi="Times New Roman" w:cs="Times New Roman"/>
          <w:sz w:val="24"/>
          <w:szCs w:val="24"/>
        </w:rPr>
      </w:pPr>
    </w:p>
    <w:p w:rsidR="000339F8" w:rsidRDefault="000339F8" w:rsidP="000339F8">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valuation is undertaken by the AIFM itself, indicate by whom the valuation is undertaken</w:t>
      </w:r>
      <w:r w:rsidR="00386C1A">
        <w:rPr>
          <w:rFonts w:ascii="Times New Roman" w:hAnsi="Times New Roman" w:cs="Times New Roman"/>
          <w:sz w:val="24"/>
          <w:szCs w:val="24"/>
        </w:rPr>
        <w:t>,</w:t>
      </w:r>
      <w:r>
        <w:rPr>
          <w:rFonts w:ascii="Times New Roman" w:hAnsi="Times New Roman" w:cs="Times New Roman"/>
          <w:sz w:val="24"/>
          <w:szCs w:val="24"/>
        </w:rPr>
        <w:t xml:space="preserve"> demonstrating </w:t>
      </w:r>
      <w:r w:rsidR="00386C1A">
        <w:rPr>
          <w:rFonts w:ascii="Times New Roman" w:hAnsi="Times New Roman" w:cs="Times New Roman"/>
          <w:sz w:val="24"/>
          <w:szCs w:val="24"/>
        </w:rPr>
        <w:t xml:space="preserve">how </w:t>
      </w:r>
      <w:r>
        <w:rPr>
          <w:rFonts w:ascii="Times New Roman" w:hAnsi="Times New Roman" w:cs="Times New Roman"/>
          <w:sz w:val="24"/>
          <w:szCs w:val="24"/>
        </w:rPr>
        <w:t>the valuation task is functionally independent from the portfolio management and remuneration policy</w:t>
      </w:r>
      <w:r w:rsidR="00677623">
        <w:rPr>
          <w:rFonts w:ascii="Times New Roman" w:hAnsi="Times New Roman" w:cs="Times New Roman"/>
          <w:sz w:val="24"/>
          <w:szCs w:val="24"/>
        </w:rPr>
        <w:t>. Please also describe</w:t>
      </w:r>
      <w:r>
        <w:rPr>
          <w:rFonts w:ascii="Times New Roman" w:hAnsi="Times New Roman" w:cs="Times New Roman"/>
          <w:sz w:val="24"/>
          <w:szCs w:val="24"/>
        </w:rPr>
        <w:t xml:space="preserve"> other measures ensuring that conflicts of interest are mitigated and that undue influence upon the employees </w:t>
      </w:r>
      <w:r w:rsidR="00677623">
        <w:rPr>
          <w:rFonts w:ascii="Times New Roman" w:hAnsi="Times New Roman" w:cs="Times New Roman"/>
          <w:sz w:val="24"/>
          <w:szCs w:val="24"/>
        </w:rPr>
        <w:t xml:space="preserve">undertaking the valuation task </w:t>
      </w:r>
      <w:r>
        <w:rPr>
          <w:rFonts w:ascii="Times New Roman" w:hAnsi="Times New Roman" w:cs="Times New Roman"/>
          <w:sz w:val="24"/>
          <w:szCs w:val="24"/>
        </w:rPr>
        <w:t>is prevented</w:t>
      </w:r>
      <w:r w:rsidR="00677623">
        <w:rPr>
          <w:rFonts w:ascii="Times New Roman" w:hAnsi="Times New Roman" w:cs="Times New Roman"/>
          <w:sz w:val="24"/>
          <w:szCs w:val="24"/>
        </w:rPr>
        <w:t>.</w:t>
      </w:r>
    </w:p>
    <w:p w:rsidR="00576205" w:rsidRDefault="00576205" w:rsidP="00576205">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7B73BD" w:rsidRPr="00C01DA9" w:rsidTr="00087790">
        <w:trPr>
          <w:trHeight w:val="207"/>
        </w:trPr>
        <w:tc>
          <w:tcPr>
            <w:tcW w:w="8647" w:type="dxa"/>
            <w:vMerge w:val="restart"/>
            <w:shd w:val="clear" w:color="000000" w:fill="FFFF00"/>
            <w:hideMark/>
          </w:tcPr>
          <w:p w:rsidR="007B73BD" w:rsidRDefault="007B73BD" w:rsidP="00087790">
            <w:pPr>
              <w:spacing w:after="0" w:line="240" w:lineRule="auto"/>
              <w:jc w:val="both"/>
              <w:rPr>
                <w:rFonts w:ascii="Times New Roman" w:eastAsia="Times New Roman" w:hAnsi="Times New Roman" w:cs="Times New Roman"/>
                <w:sz w:val="24"/>
                <w:szCs w:val="24"/>
                <w:lang w:eastAsia="en-GB"/>
              </w:rPr>
            </w:pPr>
          </w:p>
          <w:p w:rsidR="007B73BD"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73BD" w:rsidRPr="008E31CE" w:rsidRDefault="007B73BD" w:rsidP="00087790">
            <w:pPr>
              <w:spacing w:after="0" w:line="240" w:lineRule="auto"/>
              <w:jc w:val="both"/>
              <w:rPr>
                <w:rFonts w:ascii="Times New Roman" w:eastAsia="Times New Roman" w:hAnsi="Times New Roman" w:cs="Times New Roman"/>
                <w:sz w:val="24"/>
                <w:szCs w:val="24"/>
                <w:lang w:eastAsia="en-GB"/>
              </w:rPr>
            </w:pPr>
          </w:p>
          <w:p w:rsidR="007B73BD" w:rsidRPr="00C01DA9" w:rsidRDefault="007B73BD" w:rsidP="00087790">
            <w:pPr>
              <w:spacing w:after="0" w:line="240" w:lineRule="auto"/>
              <w:jc w:val="both"/>
              <w:rPr>
                <w:rFonts w:ascii="Times New Roman" w:eastAsia="Times New Roman" w:hAnsi="Times New Roman" w:cs="Times New Roman"/>
                <w:sz w:val="18"/>
                <w:szCs w:val="18"/>
                <w:lang w:eastAsia="en-GB"/>
              </w:rPr>
            </w:pPr>
          </w:p>
        </w:tc>
      </w:tr>
      <w:tr w:rsidR="007B73BD" w:rsidRPr="00C01DA9" w:rsidTr="00087790">
        <w:trPr>
          <w:trHeight w:val="244"/>
        </w:trPr>
        <w:tc>
          <w:tcPr>
            <w:tcW w:w="8647" w:type="dxa"/>
            <w:vMerge/>
            <w:vAlign w:val="center"/>
            <w:hideMark/>
          </w:tcPr>
          <w:p w:rsidR="007B73BD" w:rsidRPr="00C01DA9" w:rsidRDefault="007B73BD" w:rsidP="00087790">
            <w:pPr>
              <w:spacing w:after="0" w:line="240" w:lineRule="auto"/>
              <w:jc w:val="both"/>
              <w:rPr>
                <w:rFonts w:ascii="Times New Roman" w:eastAsia="Times New Roman" w:hAnsi="Times New Roman" w:cs="Times New Roman"/>
                <w:sz w:val="18"/>
                <w:szCs w:val="18"/>
                <w:lang w:eastAsia="en-GB"/>
              </w:rPr>
            </w:pPr>
          </w:p>
        </w:tc>
      </w:tr>
    </w:tbl>
    <w:p w:rsidR="00386C1A" w:rsidRDefault="00386C1A" w:rsidP="00386C1A">
      <w:pPr>
        <w:pStyle w:val="ListParagraph"/>
        <w:spacing w:after="0" w:line="240" w:lineRule="auto"/>
        <w:ind w:left="1429"/>
        <w:jc w:val="both"/>
        <w:rPr>
          <w:rFonts w:ascii="Times New Roman" w:eastAsiaTheme="majorEastAsia" w:hAnsi="Times New Roman" w:cs="Times New Roman"/>
          <w:bCs/>
          <w:sz w:val="24"/>
          <w:szCs w:val="24"/>
        </w:rPr>
      </w:pPr>
    </w:p>
    <w:p w:rsidR="009F7893" w:rsidRPr="00386C1A" w:rsidRDefault="0068136B" w:rsidP="00386C1A">
      <w:pPr>
        <w:pStyle w:val="ListParagraph"/>
        <w:numPr>
          <w:ilvl w:val="0"/>
          <w:numId w:val="36"/>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Where</w:t>
      </w:r>
      <w:r w:rsidR="000339F8" w:rsidRPr="00386C1A">
        <w:rPr>
          <w:rFonts w:ascii="Times New Roman" w:eastAsiaTheme="majorEastAsia" w:hAnsi="Times New Roman" w:cs="Times New Roman"/>
          <w:bCs/>
          <w:sz w:val="24"/>
          <w:szCs w:val="24"/>
        </w:rPr>
        <w:t xml:space="preserve"> external valuer</w:t>
      </w:r>
      <w:r w:rsidR="00386C1A" w:rsidRPr="00386C1A">
        <w:rPr>
          <w:rFonts w:ascii="Times New Roman" w:eastAsiaTheme="majorEastAsia" w:hAnsi="Times New Roman" w:cs="Times New Roman"/>
          <w:bCs/>
          <w:sz w:val="24"/>
          <w:szCs w:val="24"/>
        </w:rPr>
        <w:t>s are</w:t>
      </w:r>
      <w:r>
        <w:rPr>
          <w:rFonts w:ascii="Times New Roman" w:eastAsiaTheme="majorEastAsia" w:hAnsi="Times New Roman" w:cs="Times New Roman"/>
          <w:bCs/>
          <w:sz w:val="24"/>
          <w:szCs w:val="24"/>
        </w:rPr>
        <w:t>/ will be</w:t>
      </w:r>
      <w:r w:rsidR="00386C1A" w:rsidRPr="00386C1A">
        <w:rPr>
          <w:rFonts w:ascii="Times New Roman" w:eastAsiaTheme="majorEastAsia" w:hAnsi="Times New Roman" w:cs="Times New Roman"/>
          <w:bCs/>
          <w:sz w:val="24"/>
          <w:szCs w:val="24"/>
        </w:rPr>
        <w:t xml:space="preserve"> appointed</w:t>
      </w:r>
      <w:r w:rsidR="0014154C">
        <w:rPr>
          <w:rFonts w:ascii="Times New Roman" w:eastAsiaTheme="majorEastAsia" w:hAnsi="Times New Roman" w:cs="Times New Roman"/>
          <w:bCs/>
          <w:sz w:val="24"/>
          <w:szCs w:val="24"/>
        </w:rPr>
        <w:t xml:space="preserve"> by the AIFM</w:t>
      </w:r>
      <w:r w:rsidR="00386C1A" w:rsidRPr="00386C1A">
        <w:rPr>
          <w:rFonts w:ascii="Times New Roman" w:eastAsiaTheme="majorEastAsia" w:hAnsi="Times New Roman" w:cs="Times New Roman"/>
          <w:bCs/>
          <w:sz w:val="24"/>
          <w:szCs w:val="24"/>
        </w:rPr>
        <w:t>, confirm</w:t>
      </w:r>
      <w:r w:rsidR="0014154C">
        <w:rPr>
          <w:rFonts w:ascii="Times New Roman" w:eastAsiaTheme="majorEastAsia" w:hAnsi="Times New Roman" w:cs="Times New Roman"/>
          <w:bCs/>
          <w:sz w:val="24"/>
          <w:szCs w:val="24"/>
        </w:rPr>
        <w:t xml:space="preserve"> and demonstrate how </w:t>
      </w:r>
      <w:r w:rsidR="00386C1A" w:rsidRPr="00386C1A">
        <w:rPr>
          <w:rFonts w:ascii="Times New Roman" w:eastAsiaTheme="majorEastAsia" w:hAnsi="Times New Roman" w:cs="Times New Roman"/>
          <w:bCs/>
          <w:sz w:val="24"/>
          <w:szCs w:val="24"/>
        </w:rPr>
        <w:t>such valuers are independent from the AIF, the AIFM and any other persons with close links to the AIF or the AIFM</w:t>
      </w:r>
      <w:r w:rsidR="00536839">
        <w:rPr>
          <w:rFonts w:ascii="Times New Roman" w:eastAsiaTheme="majorEastAsia" w:hAnsi="Times New Roman" w:cs="Times New Roman"/>
          <w:bCs/>
          <w:sz w:val="24"/>
          <w:szCs w:val="24"/>
        </w:rPr>
        <w:t>.</w:t>
      </w:r>
      <w:r>
        <w:rPr>
          <w:rStyle w:val="FootnoteReference"/>
          <w:rFonts w:ascii="Times New Roman" w:eastAsiaTheme="majorEastAsia" w:hAnsi="Times New Roman" w:cs="Times New Roman"/>
          <w:bCs/>
          <w:sz w:val="24"/>
          <w:szCs w:val="24"/>
        </w:rPr>
        <w:footnoteReference w:id="5"/>
      </w:r>
    </w:p>
    <w:p w:rsidR="009F7893" w:rsidRDefault="009F7893"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386C1A" w:rsidRPr="00C01DA9" w:rsidTr="00087790">
        <w:trPr>
          <w:trHeight w:val="207"/>
        </w:trPr>
        <w:tc>
          <w:tcPr>
            <w:tcW w:w="8647" w:type="dxa"/>
            <w:vMerge w:val="restart"/>
            <w:shd w:val="clear" w:color="000000" w:fill="FFFF00"/>
            <w:hideMark/>
          </w:tcPr>
          <w:p w:rsidR="00386C1A" w:rsidRDefault="00386C1A" w:rsidP="00087790">
            <w:pPr>
              <w:spacing w:after="0" w:line="240" w:lineRule="auto"/>
              <w:jc w:val="both"/>
              <w:rPr>
                <w:rFonts w:ascii="Times New Roman" w:eastAsia="Times New Roman" w:hAnsi="Times New Roman" w:cs="Times New Roman"/>
                <w:sz w:val="24"/>
                <w:szCs w:val="24"/>
                <w:lang w:eastAsia="en-GB"/>
              </w:rPr>
            </w:pPr>
          </w:p>
          <w:p w:rsidR="00386C1A"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386C1A" w:rsidRPr="008E31CE" w:rsidRDefault="00386C1A" w:rsidP="00087790">
            <w:pPr>
              <w:spacing w:after="0" w:line="240" w:lineRule="auto"/>
              <w:jc w:val="both"/>
              <w:rPr>
                <w:rFonts w:ascii="Times New Roman" w:eastAsia="Times New Roman" w:hAnsi="Times New Roman" w:cs="Times New Roman"/>
                <w:sz w:val="24"/>
                <w:szCs w:val="24"/>
                <w:lang w:eastAsia="en-GB"/>
              </w:rPr>
            </w:pPr>
          </w:p>
          <w:p w:rsidR="00386C1A" w:rsidRPr="00C01DA9" w:rsidRDefault="00386C1A" w:rsidP="00087790">
            <w:pPr>
              <w:spacing w:after="0" w:line="240" w:lineRule="auto"/>
              <w:jc w:val="both"/>
              <w:rPr>
                <w:rFonts w:ascii="Times New Roman" w:eastAsia="Times New Roman" w:hAnsi="Times New Roman" w:cs="Times New Roman"/>
                <w:sz w:val="18"/>
                <w:szCs w:val="18"/>
                <w:lang w:eastAsia="en-GB"/>
              </w:rPr>
            </w:pPr>
          </w:p>
        </w:tc>
      </w:tr>
      <w:tr w:rsidR="00386C1A" w:rsidRPr="00C01DA9" w:rsidTr="00087790">
        <w:trPr>
          <w:trHeight w:val="244"/>
        </w:trPr>
        <w:tc>
          <w:tcPr>
            <w:tcW w:w="8647" w:type="dxa"/>
            <w:vMerge/>
            <w:vAlign w:val="center"/>
            <w:hideMark/>
          </w:tcPr>
          <w:p w:rsidR="00386C1A" w:rsidRPr="00C01DA9" w:rsidRDefault="00386C1A" w:rsidP="00087790">
            <w:pPr>
              <w:spacing w:after="0" w:line="240" w:lineRule="auto"/>
              <w:jc w:val="both"/>
              <w:rPr>
                <w:rFonts w:ascii="Times New Roman" w:eastAsia="Times New Roman" w:hAnsi="Times New Roman" w:cs="Times New Roman"/>
                <w:sz w:val="18"/>
                <w:szCs w:val="18"/>
                <w:lang w:eastAsia="en-GB"/>
              </w:rPr>
            </w:pPr>
          </w:p>
        </w:tc>
      </w:tr>
    </w:tbl>
    <w:p w:rsidR="00386C1A" w:rsidRDefault="00386C1A" w:rsidP="000339F8">
      <w:pPr>
        <w:spacing w:after="0" w:line="240" w:lineRule="auto"/>
        <w:ind w:left="709"/>
        <w:jc w:val="both"/>
        <w:rPr>
          <w:rFonts w:ascii="Times New Roman" w:eastAsiaTheme="majorEastAsia" w:hAnsi="Times New Roman" w:cs="Times New Roman"/>
          <w:bCs/>
          <w:sz w:val="24"/>
          <w:szCs w:val="24"/>
        </w:rPr>
      </w:pPr>
    </w:p>
    <w:p w:rsidR="0014154C" w:rsidRDefault="0014154C" w:rsidP="0014154C">
      <w:pPr>
        <w:pStyle w:val="ListParagraph"/>
        <w:numPr>
          <w:ilvl w:val="0"/>
          <w:numId w:val="36"/>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 accordance with Article 19(5) of the Directive, w</w:t>
      </w:r>
      <w:r w:rsidR="00386C1A" w:rsidRPr="0014154C">
        <w:rPr>
          <w:rFonts w:ascii="Times New Roman" w:eastAsiaTheme="majorEastAsia" w:hAnsi="Times New Roman" w:cs="Times New Roman"/>
          <w:bCs/>
          <w:sz w:val="24"/>
          <w:szCs w:val="24"/>
        </w:rPr>
        <w:t>here external valuers are appointed</w:t>
      </w:r>
      <w:r>
        <w:rPr>
          <w:rFonts w:ascii="Times New Roman" w:eastAsiaTheme="majorEastAsia" w:hAnsi="Times New Roman" w:cs="Times New Roman"/>
          <w:bCs/>
          <w:sz w:val="24"/>
          <w:szCs w:val="24"/>
        </w:rPr>
        <w:t xml:space="preserve">, </w:t>
      </w:r>
      <w:r w:rsidR="00386C1A" w:rsidRPr="0014154C">
        <w:rPr>
          <w:rFonts w:ascii="Times New Roman" w:eastAsiaTheme="majorEastAsia" w:hAnsi="Times New Roman" w:cs="Times New Roman"/>
          <w:bCs/>
          <w:sz w:val="24"/>
          <w:szCs w:val="24"/>
        </w:rPr>
        <w:t>demonstrate that</w:t>
      </w:r>
      <w:r>
        <w:rPr>
          <w:rFonts w:ascii="Times New Roman" w:eastAsiaTheme="majorEastAsia" w:hAnsi="Times New Roman" w:cs="Times New Roman"/>
          <w:bCs/>
          <w:sz w:val="24"/>
          <w:szCs w:val="24"/>
        </w:rPr>
        <w:t>:-</w:t>
      </w:r>
      <w:r w:rsidR="00386C1A" w:rsidRPr="0014154C">
        <w:rPr>
          <w:rFonts w:ascii="Times New Roman" w:eastAsiaTheme="majorEastAsia" w:hAnsi="Times New Roman" w:cs="Times New Roman"/>
          <w:bCs/>
          <w:sz w:val="24"/>
          <w:szCs w:val="24"/>
        </w:rPr>
        <w:t xml:space="preserve"> </w:t>
      </w:r>
    </w:p>
    <w:p w:rsidR="0014154C" w:rsidRDefault="0014154C" w:rsidP="0014154C">
      <w:pPr>
        <w:pStyle w:val="ListParagraph"/>
        <w:spacing w:after="0" w:line="240" w:lineRule="auto"/>
        <w:ind w:left="1429"/>
        <w:jc w:val="both"/>
        <w:rPr>
          <w:rFonts w:ascii="Times New Roman" w:eastAsiaTheme="majorEastAsia" w:hAnsi="Times New Roman" w:cs="Times New Roman"/>
          <w:bCs/>
          <w:sz w:val="24"/>
          <w:szCs w:val="24"/>
        </w:rPr>
      </w:pPr>
    </w:p>
    <w:p w:rsid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a)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external valuer is subject to mandatory professional registration recognised by law or regulatory provisions or rules of professional conduct</w:t>
      </w:r>
      <w:r w:rsidR="0014154C">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b)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external valuer can provide sufficient professional guarantees to be able to perform effectively the relevant valuation function</w:t>
      </w:r>
      <w:r w:rsidR="0014154C">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386C1A" w:rsidRP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c)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appointment of the external valuer complies with the </w:t>
      </w:r>
      <w:r w:rsidR="0014154C" w:rsidRPr="0014154C">
        <w:rPr>
          <w:rFonts w:ascii="Times New Roman" w:eastAsiaTheme="majorEastAsia" w:hAnsi="Times New Roman" w:cs="Times New Roman"/>
          <w:bCs/>
          <w:sz w:val="24"/>
          <w:szCs w:val="24"/>
        </w:rPr>
        <w:t>requirements</w:t>
      </w:r>
      <w:r w:rsidRPr="0014154C">
        <w:rPr>
          <w:rFonts w:ascii="Times New Roman" w:eastAsiaTheme="majorEastAsia" w:hAnsi="Times New Roman" w:cs="Times New Roman"/>
          <w:bCs/>
          <w:sz w:val="24"/>
          <w:szCs w:val="24"/>
        </w:rPr>
        <w:t xml:space="preserve"> of Article 20(1) and (2) as well the Commission Delegated Regulation adopted pursuant to Article 20(7)</w:t>
      </w:r>
      <w:r w:rsidR="00677623">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386C1A" w:rsidRDefault="00386C1A"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4154C" w:rsidRPr="00C01DA9" w:rsidTr="00087790">
        <w:trPr>
          <w:trHeight w:val="207"/>
        </w:trPr>
        <w:tc>
          <w:tcPr>
            <w:tcW w:w="8647" w:type="dxa"/>
            <w:vMerge w:val="restart"/>
            <w:shd w:val="clear" w:color="000000" w:fill="FFFF00"/>
            <w:hideMark/>
          </w:tcPr>
          <w:p w:rsidR="0014154C" w:rsidRDefault="0014154C" w:rsidP="00087790">
            <w:pPr>
              <w:spacing w:after="0" w:line="240" w:lineRule="auto"/>
              <w:jc w:val="both"/>
              <w:rPr>
                <w:rFonts w:ascii="Times New Roman" w:eastAsia="Times New Roman" w:hAnsi="Times New Roman" w:cs="Times New Roman"/>
                <w:sz w:val="24"/>
                <w:szCs w:val="24"/>
                <w:lang w:eastAsia="en-GB"/>
              </w:rPr>
            </w:pPr>
          </w:p>
          <w:p w:rsidR="0014154C"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4154C" w:rsidRPr="008E31CE" w:rsidRDefault="0014154C" w:rsidP="00087790">
            <w:pPr>
              <w:spacing w:after="0" w:line="240" w:lineRule="auto"/>
              <w:jc w:val="both"/>
              <w:rPr>
                <w:rFonts w:ascii="Times New Roman" w:eastAsia="Times New Roman" w:hAnsi="Times New Roman" w:cs="Times New Roman"/>
                <w:sz w:val="24"/>
                <w:szCs w:val="24"/>
                <w:lang w:eastAsia="en-GB"/>
              </w:rPr>
            </w:pPr>
          </w:p>
          <w:p w:rsidR="0014154C" w:rsidRPr="00C01DA9" w:rsidRDefault="0014154C" w:rsidP="00087790">
            <w:pPr>
              <w:spacing w:after="0" w:line="240" w:lineRule="auto"/>
              <w:jc w:val="both"/>
              <w:rPr>
                <w:rFonts w:ascii="Times New Roman" w:eastAsia="Times New Roman" w:hAnsi="Times New Roman" w:cs="Times New Roman"/>
                <w:sz w:val="18"/>
                <w:szCs w:val="18"/>
                <w:lang w:eastAsia="en-GB"/>
              </w:rPr>
            </w:pPr>
          </w:p>
        </w:tc>
      </w:tr>
      <w:tr w:rsidR="0014154C" w:rsidRPr="00C01DA9" w:rsidTr="00087790">
        <w:trPr>
          <w:trHeight w:val="244"/>
        </w:trPr>
        <w:tc>
          <w:tcPr>
            <w:tcW w:w="8647" w:type="dxa"/>
            <w:vMerge/>
            <w:vAlign w:val="center"/>
            <w:hideMark/>
          </w:tcPr>
          <w:p w:rsidR="0014154C" w:rsidRPr="00C01DA9" w:rsidRDefault="0014154C" w:rsidP="00087790">
            <w:pPr>
              <w:spacing w:after="0" w:line="240" w:lineRule="auto"/>
              <w:jc w:val="both"/>
              <w:rPr>
                <w:rFonts w:ascii="Times New Roman" w:eastAsia="Times New Roman" w:hAnsi="Times New Roman" w:cs="Times New Roman"/>
                <w:sz w:val="18"/>
                <w:szCs w:val="18"/>
                <w:lang w:eastAsia="en-GB"/>
              </w:rPr>
            </w:pPr>
          </w:p>
        </w:tc>
      </w:tr>
    </w:tbl>
    <w:p w:rsidR="00386C1A" w:rsidRDefault="00386C1A" w:rsidP="000339F8">
      <w:pPr>
        <w:spacing w:after="0" w:line="240" w:lineRule="auto"/>
        <w:ind w:left="709"/>
        <w:jc w:val="both"/>
        <w:rPr>
          <w:rFonts w:ascii="Times New Roman" w:eastAsiaTheme="majorEastAsia" w:hAnsi="Times New Roman" w:cs="Times New Roman"/>
          <w:bCs/>
          <w:sz w:val="24"/>
          <w:szCs w:val="24"/>
        </w:rPr>
      </w:pPr>
    </w:p>
    <w:p w:rsidR="00BD13FC" w:rsidRDefault="00BD13FC"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CD1A86" w:rsidRDefault="00CD1A86">
      <w:pPr>
        <w:rPr>
          <w:rFonts w:ascii="Times New Roman" w:hAnsi="Times New Roman" w:cs="Times New Roman"/>
          <w:b/>
          <w:bCs/>
          <w:sz w:val="26"/>
          <w:szCs w:val="26"/>
        </w:rPr>
      </w:pPr>
      <w:r>
        <w:rPr>
          <w:rFonts w:ascii="Times New Roman" w:hAnsi="Times New Roman" w:cs="Times New Roman"/>
          <w:b/>
          <w:bCs/>
          <w:sz w:val="26"/>
          <w:szCs w:val="26"/>
        </w:rPr>
        <w:br w:type="page"/>
      </w:r>
    </w:p>
    <w:p w:rsidR="00576205" w:rsidRDefault="00576205" w:rsidP="00576205">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10:</w:t>
      </w:r>
      <w:r w:rsidR="005C549C">
        <w:rPr>
          <w:rFonts w:ascii="Times New Roman" w:hAnsi="Times New Roman" w:cs="Times New Roman"/>
          <w:b/>
          <w:bCs/>
          <w:sz w:val="26"/>
          <w:szCs w:val="26"/>
        </w:rPr>
        <w:t xml:space="preserve"> </w:t>
      </w:r>
      <w:r>
        <w:rPr>
          <w:rFonts w:ascii="Times New Roman" w:hAnsi="Times New Roman" w:cs="Times New Roman"/>
          <w:b/>
          <w:bCs/>
          <w:sz w:val="26"/>
          <w:szCs w:val="26"/>
        </w:rPr>
        <w:t xml:space="preserve">Delegation of AIFM Functions </w:t>
      </w:r>
    </w:p>
    <w:p w:rsidR="00576205" w:rsidRPr="00FE6778" w:rsidRDefault="00576205" w:rsidP="00576205">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deals with the delegation of functions by AIFMs in accordance with Article 20 of the Directive and Chapter III Section 8 of the Commission Delegated Regulation</w:t>
      </w:r>
      <w:r w:rsidR="0024465F">
        <w:rPr>
          <w:rFonts w:ascii="Times New Roman" w:hAnsi="Times New Roman" w:cs="Times New Roman"/>
          <w:i/>
          <w:color w:val="808080" w:themeColor="background1" w:themeShade="80"/>
        </w:rPr>
        <w:t>.</w:t>
      </w:r>
      <w:r w:rsidRPr="00FE6778">
        <w:rPr>
          <w:rFonts w:ascii="Times New Roman" w:hAnsi="Times New Roman" w:cs="Times New Roman"/>
          <w:i/>
          <w:color w:val="808080" w:themeColor="background1" w:themeShade="80"/>
        </w:rPr>
        <w:t xml:space="preserve"> </w:t>
      </w:r>
    </w:p>
    <w:p w:rsidR="00BD13FC" w:rsidRPr="00FE6778" w:rsidRDefault="00576205"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 xml:space="preserve">This section should be completed by internal managed AIFs and also by </w:t>
      </w:r>
      <w:r w:rsidR="00677623" w:rsidRPr="00FE6778">
        <w:rPr>
          <w:rFonts w:ascii="Times New Roman" w:eastAsiaTheme="majorEastAsia" w:hAnsi="Times New Roman" w:cs="Times New Roman"/>
          <w:bCs/>
          <w:i/>
          <w:color w:val="808080" w:themeColor="background1" w:themeShade="80"/>
        </w:rPr>
        <w:t>F</w:t>
      </w:r>
      <w:r w:rsidRPr="00FE6778">
        <w:rPr>
          <w:rFonts w:ascii="Times New Roman" w:eastAsiaTheme="majorEastAsia" w:hAnsi="Times New Roman" w:cs="Times New Roman"/>
          <w:bCs/>
          <w:i/>
          <w:color w:val="808080" w:themeColor="background1" w:themeShade="80"/>
        </w:rPr>
        <w:t xml:space="preserve">und </w:t>
      </w:r>
      <w:r w:rsidR="00677623" w:rsidRPr="00FE6778">
        <w:rPr>
          <w:rFonts w:ascii="Times New Roman" w:eastAsiaTheme="majorEastAsia" w:hAnsi="Times New Roman" w:cs="Times New Roman"/>
          <w:bCs/>
          <w:i/>
          <w:color w:val="808080" w:themeColor="background1" w:themeShade="80"/>
        </w:rPr>
        <w:t>M</w:t>
      </w:r>
      <w:r w:rsidRPr="00FE6778">
        <w:rPr>
          <w:rFonts w:ascii="Times New Roman" w:eastAsiaTheme="majorEastAsia" w:hAnsi="Times New Roman" w:cs="Times New Roman"/>
          <w:bCs/>
          <w:i/>
          <w:color w:val="808080" w:themeColor="background1" w:themeShade="80"/>
        </w:rPr>
        <w:t>anagers (</w:t>
      </w:r>
      <w:r w:rsidR="004A13E4" w:rsidRPr="00FE6778">
        <w:rPr>
          <w:rFonts w:ascii="Times New Roman" w:eastAsiaTheme="majorEastAsia" w:hAnsi="Times New Roman" w:cs="Times New Roman"/>
          <w:bCs/>
          <w:i/>
          <w:color w:val="808080" w:themeColor="background1" w:themeShade="80"/>
        </w:rPr>
        <w:t>ex</w:t>
      </w:r>
      <w:r w:rsidRPr="00FE6778">
        <w:rPr>
          <w:rFonts w:ascii="Times New Roman" w:eastAsiaTheme="majorEastAsia" w:hAnsi="Times New Roman" w:cs="Times New Roman"/>
          <w:bCs/>
          <w:i/>
          <w:color w:val="808080" w:themeColor="background1" w:themeShade="80"/>
        </w:rPr>
        <w:t>cluding UCITS Management companies</w:t>
      </w:r>
      <w:r w:rsidR="00EC1F3D">
        <w:rPr>
          <w:rFonts w:ascii="Times New Roman" w:eastAsiaTheme="majorEastAsia" w:hAnsi="Times New Roman" w:cs="Times New Roman"/>
          <w:bCs/>
          <w:i/>
          <w:color w:val="808080" w:themeColor="background1" w:themeShade="80"/>
        </w:rPr>
        <w:t xml:space="preserve"> which also manage AIFs</w:t>
      </w:r>
      <w:r w:rsidRPr="00FE6778">
        <w:rPr>
          <w:rFonts w:ascii="Times New Roman" w:eastAsiaTheme="majorEastAsia" w:hAnsi="Times New Roman" w:cs="Times New Roman"/>
          <w:bCs/>
          <w:i/>
          <w:color w:val="808080" w:themeColor="background1" w:themeShade="80"/>
        </w:rPr>
        <w:t>)</w:t>
      </w:r>
      <w:r w:rsidR="0024465F">
        <w:rPr>
          <w:rFonts w:ascii="Times New Roman" w:eastAsiaTheme="majorEastAsia" w:hAnsi="Times New Roman" w:cs="Times New Roman"/>
          <w:bCs/>
          <w:i/>
          <w:color w:val="808080" w:themeColor="background1" w:themeShade="80"/>
        </w:rPr>
        <w:t>.</w:t>
      </w:r>
      <w:r w:rsidRPr="00FE6778">
        <w:rPr>
          <w:rFonts w:ascii="Times New Roman" w:eastAsiaTheme="majorEastAsia" w:hAnsi="Times New Roman" w:cs="Times New Roman"/>
          <w:bCs/>
          <w:i/>
          <w:color w:val="808080" w:themeColor="background1" w:themeShade="80"/>
        </w:rPr>
        <w:t xml:space="preserve"> </w:t>
      </w:r>
    </w:p>
    <w:p w:rsidR="00576205" w:rsidRPr="00FE6778" w:rsidRDefault="00576205" w:rsidP="000339F8">
      <w:pPr>
        <w:spacing w:after="0" w:line="240" w:lineRule="auto"/>
        <w:ind w:left="709"/>
        <w:jc w:val="both"/>
        <w:rPr>
          <w:rFonts w:ascii="Times New Roman" w:eastAsiaTheme="majorEastAsia" w:hAnsi="Times New Roman" w:cs="Times New Roman"/>
          <w:bCs/>
          <w:i/>
          <w:color w:val="808080" w:themeColor="background1" w:themeShade="80"/>
        </w:rPr>
      </w:pPr>
    </w:p>
    <w:p w:rsidR="004A13E4" w:rsidRPr="00FE6778" w:rsidRDefault="00677623"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Where details of the delegation arrangements have already been provided</w:t>
      </w:r>
      <w:r w:rsidR="00192DB3" w:rsidRPr="00FE6778">
        <w:rPr>
          <w:rFonts w:ascii="Times New Roman" w:eastAsiaTheme="majorEastAsia" w:hAnsi="Times New Roman" w:cs="Times New Roman"/>
          <w:bCs/>
          <w:i/>
          <w:color w:val="808080" w:themeColor="background1" w:themeShade="80"/>
        </w:rPr>
        <w:t xml:space="preserve"> in </w:t>
      </w:r>
      <w:r w:rsidRPr="00FE6778">
        <w:rPr>
          <w:rFonts w:ascii="Times New Roman" w:eastAsiaTheme="majorEastAsia" w:hAnsi="Times New Roman" w:cs="Times New Roman"/>
          <w:bCs/>
          <w:i/>
          <w:color w:val="808080" w:themeColor="background1" w:themeShade="80"/>
        </w:rPr>
        <w:t xml:space="preserve">reply to </w:t>
      </w:r>
      <w:r w:rsidR="00192DB3" w:rsidRPr="00FE6778">
        <w:rPr>
          <w:rFonts w:ascii="Times New Roman" w:eastAsiaTheme="majorEastAsia" w:hAnsi="Times New Roman" w:cs="Times New Roman"/>
          <w:bCs/>
          <w:i/>
          <w:color w:val="808080" w:themeColor="background1" w:themeShade="80"/>
        </w:rPr>
        <w:t>th</w:t>
      </w:r>
      <w:r w:rsidR="004A13E4" w:rsidRPr="00FE6778">
        <w:rPr>
          <w:rFonts w:ascii="Times New Roman" w:eastAsiaTheme="majorEastAsia" w:hAnsi="Times New Roman" w:cs="Times New Roman"/>
          <w:bCs/>
          <w:i/>
          <w:color w:val="808080" w:themeColor="background1" w:themeShade="80"/>
        </w:rPr>
        <w:t xml:space="preserve">e ‘Questionnaire on the Operational Arrangements of Fund Managers and Self-Managed Schemes’ </w:t>
      </w:r>
      <w:r w:rsidR="006E5232" w:rsidRPr="00FE6778">
        <w:rPr>
          <w:rFonts w:ascii="Times New Roman" w:eastAsiaTheme="majorEastAsia" w:hAnsi="Times New Roman" w:cs="Times New Roman"/>
          <w:bCs/>
          <w:i/>
          <w:color w:val="808080" w:themeColor="background1" w:themeShade="80"/>
        </w:rPr>
        <w:t>(</w:t>
      </w:r>
      <w:r w:rsidR="004A13E4" w:rsidRPr="00FE6778">
        <w:rPr>
          <w:rFonts w:ascii="Times New Roman" w:eastAsiaTheme="majorEastAsia" w:hAnsi="Times New Roman" w:cs="Times New Roman"/>
          <w:bCs/>
          <w:i/>
          <w:color w:val="808080" w:themeColor="background1" w:themeShade="80"/>
        </w:rPr>
        <w:t>issued by the MFSA</w:t>
      </w:r>
      <w:r w:rsidR="006E5232" w:rsidRPr="00FE6778">
        <w:rPr>
          <w:rFonts w:ascii="Times New Roman" w:eastAsiaTheme="majorEastAsia" w:hAnsi="Times New Roman" w:cs="Times New Roman"/>
          <w:bCs/>
          <w:i/>
          <w:color w:val="808080" w:themeColor="background1" w:themeShade="80"/>
        </w:rPr>
        <w:t xml:space="preserve"> in February 2013)</w:t>
      </w:r>
      <w:r w:rsidR="00192DB3" w:rsidRPr="00FE6778">
        <w:rPr>
          <w:rFonts w:ascii="Times New Roman" w:eastAsiaTheme="majorEastAsia" w:hAnsi="Times New Roman" w:cs="Times New Roman"/>
          <w:bCs/>
          <w:i/>
          <w:color w:val="808080" w:themeColor="background1" w:themeShade="80"/>
        </w:rPr>
        <w:t>,</w:t>
      </w:r>
      <w:r w:rsidR="004A13E4" w:rsidRPr="00FE6778">
        <w:rPr>
          <w:rFonts w:ascii="Times New Roman" w:eastAsiaTheme="majorEastAsia" w:hAnsi="Times New Roman" w:cs="Times New Roman"/>
          <w:bCs/>
          <w:i/>
          <w:color w:val="808080" w:themeColor="background1" w:themeShade="80"/>
        </w:rPr>
        <w:t xml:space="preserve"> </w:t>
      </w:r>
      <w:r w:rsidR="00192DB3" w:rsidRPr="00FE6778">
        <w:rPr>
          <w:rFonts w:ascii="Times New Roman" w:eastAsiaTheme="majorEastAsia" w:hAnsi="Times New Roman" w:cs="Times New Roman"/>
          <w:bCs/>
          <w:i/>
          <w:color w:val="808080" w:themeColor="background1" w:themeShade="80"/>
        </w:rPr>
        <w:t xml:space="preserve">a </w:t>
      </w:r>
      <w:r w:rsidR="004A13E4" w:rsidRPr="00FE6778">
        <w:rPr>
          <w:rFonts w:ascii="Times New Roman" w:eastAsiaTheme="majorEastAsia" w:hAnsi="Times New Roman" w:cs="Times New Roman"/>
          <w:bCs/>
          <w:i/>
          <w:color w:val="808080" w:themeColor="background1" w:themeShade="80"/>
        </w:rPr>
        <w:t xml:space="preserve">cross reference to the </w:t>
      </w:r>
      <w:r w:rsidRPr="00FE6778">
        <w:rPr>
          <w:rFonts w:ascii="Times New Roman" w:eastAsiaTheme="majorEastAsia" w:hAnsi="Times New Roman" w:cs="Times New Roman"/>
          <w:bCs/>
          <w:i/>
          <w:color w:val="808080" w:themeColor="background1" w:themeShade="80"/>
        </w:rPr>
        <w:t xml:space="preserve">relevant parts of the </w:t>
      </w:r>
      <w:r w:rsidR="004A13E4" w:rsidRPr="00FE6778">
        <w:rPr>
          <w:rFonts w:ascii="Times New Roman" w:eastAsiaTheme="majorEastAsia" w:hAnsi="Times New Roman" w:cs="Times New Roman"/>
          <w:bCs/>
          <w:i/>
          <w:color w:val="808080" w:themeColor="background1" w:themeShade="80"/>
        </w:rPr>
        <w:t xml:space="preserve">Questionnaire </w:t>
      </w:r>
      <w:r w:rsidRPr="00FE6778">
        <w:rPr>
          <w:rFonts w:ascii="Times New Roman" w:eastAsiaTheme="majorEastAsia" w:hAnsi="Times New Roman" w:cs="Times New Roman"/>
          <w:bCs/>
          <w:i/>
          <w:color w:val="808080" w:themeColor="background1" w:themeShade="80"/>
        </w:rPr>
        <w:t>could be included. Supplementary information may be included as considered appropriate.</w:t>
      </w:r>
    </w:p>
    <w:p w:rsidR="004A13E4" w:rsidRPr="00FE6778" w:rsidRDefault="004A13E4" w:rsidP="000339F8">
      <w:pPr>
        <w:spacing w:after="0" w:line="240" w:lineRule="auto"/>
        <w:ind w:left="709"/>
        <w:jc w:val="both"/>
        <w:rPr>
          <w:rFonts w:ascii="Times New Roman" w:eastAsiaTheme="majorEastAsia" w:hAnsi="Times New Roman" w:cs="Times New Roman"/>
          <w:bCs/>
          <w:i/>
          <w:color w:val="808080" w:themeColor="background1" w:themeShade="80"/>
        </w:rPr>
      </w:pPr>
    </w:p>
    <w:p w:rsidR="007C0E5E" w:rsidRPr="00FE6778" w:rsidRDefault="007C0E5E"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 xml:space="preserve">Internally-managed AIFs </w:t>
      </w:r>
      <w:r w:rsidR="005C549C" w:rsidRPr="00FE6778">
        <w:rPr>
          <w:rFonts w:ascii="Times New Roman" w:eastAsiaTheme="majorEastAsia" w:hAnsi="Times New Roman" w:cs="Times New Roman"/>
          <w:bCs/>
          <w:i/>
          <w:color w:val="808080" w:themeColor="background1" w:themeShade="80"/>
        </w:rPr>
        <w:t>are required to s</w:t>
      </w:r>
      <w:r w:rsidRPr="00FE6778">
        <w:rPr>
          <w:rFonts w:ascii="Times New Roman" w:eastAsiaTheme="majorEastAsia" w:hAnsi="Times New Roman" w:cs="Times New Roman"/>
          <w:bCs/>
          <w:i/>
          <w:color w:val="808080" w:themeColor="background1" w:themeShade="80"/>
        </w:rPr>
        <w:t xml:space="preserve">ubmit </w:t>
      </w:r>
      <w:r w:rsidR="001A3B37" w:rsidRPr="00FE6778">
        <w:rPr>
          <w:rFonts w:ascii="Times New Roman" w:eastAsiaTheme="majorEastAsia" w:hAnsi="Times New Roman" w:cs="Times New Roman"/>
          <w:bCs/>
          <w:i/>
          <w:color w:val="808080" w:themeColor="background1" w:themeShade="80"/>
        </w:rPr>
        <w:t xml:space="preserve">the </w:t>
      </w:r>
      <w:r w:rsidRPr="00FE6778">
        <w:rPr>
          <w:rFonts w:ascii="Times New Roman" w:eastAsiaTheme="majorEastAsia" w:hAnsi="Times New Roman" w:cs="Times New Roman"/>
          <w:bCs/>
          <w:i/>
          <w:color w:val="808080" w:themeColor="background1" w:themeShade="80"/>
        </w:rPr>
        <w:t xml:space="preserve">relevant </w:t>
      </w:r>
      <w:r w:rsidR="00C121D4" w:rsidRPr="00FE6778">
        <w:rPr>
          <w:rFonts w:ascii="Times New Roman" w:eastAsiaTheme="majorEastAsia" w:hAnsi="Times New Roman" w:cs="Times New Roman"/>
          <w:bCs/>
          <w:i/>
          <w:color w:val="808080" w:themeColor="background1" w:themeShade="80"/>
        </w:rPr>
        <w:t xml:space="preserve">portfolio/ risk management </w:t>
      </w:r>
      <w:r w:rsidR="001A3B37" w:rsidRPr="00FE6778">
        <w:rPr>
          <w:rFonts w:ascii="Times New Roman" w:eastAsiaTheme="majorEastAsia" w:hAnsi="Times New Roman" w:cs="Times New Roman"/>
          <w:bCs/>
          <w:i/>
          <w:color w:val="808080" w:themeColor="background1" w:themeShade="80"/>
        </w:rPr>
        <w:t xml:space="preserve">delegation </w:t>
      </w:r>
      <w:r w:rsidRPr="00FE6778">
        <w:rPr>
          <w:rFonts w:ascii="Times New Roman" w:eastAsiaTheme="majorEastAsia" w:hAnsi="Times New Roman" w:cs="Times New Roman"/>
          <w:bCs/>
          <w:i/>
          <w:color w:val="808080" w:themeColor="background1" w:themeShade="80"/>
        </w:rPr>
        <w:t xml:space="preserve">agreements </w:t>
      </w:r>
      <w:r w:rsidR="006E5232" w:rsidRPr="00FE6778">
        <w:rPr>
          <w:rFonts w:ascii="Times New Roman" w:eastAsiaTheme="majorEastAsia" w:hAnsi="Times New Roman" w:cs="Times New Roman"/>
          <w:bCs/>
          <w:i/>
          <w:color w:val="808080" w:themeColor="background1" w:themeShade="80"/>
        </w:rPr>
        <w:t>(if applicable)</w:t>
      </w:r>
      <w:r w:rsidR="00677623" w:rsidRPr="00FE6778">
        <w:rPr>
          <w:rFonts w:ascii="Times New Roman" w:eastAsiaTheme="majorEastAsia" w:hAnsi="Times New Roman" w:cs="Times New Roman"/>
          <w:bCs/>
          <w:i/>
          <w:color w:val="808080" w:themeColor="background1" w:themeShade="80"/>
        </w:rPr>
        <w:t>.</w:t>
      </w:r>
    </w:p>
    <w:p w:rsidR="007C0E5E" w:rsidRPr="00FE6778" w:rsidRDefault="007C0E5E" w:rsidP="000339F8">
      <w:pPr>
        <w:spacing w:after="0" w:line="240" w:lineRule="auto"/>
        <w:ind w:left="709"/>
        <w:jc w:val="both"/>
        <w:rPr>
          <w:rFonts w:ascii="Times New Roman" w:eastAsiaTheme="majorEastAsia" w:hAnsi="Times New Roman" w:cs="Times New Roman"/>
          <w:bCs/>
          <w:i/>
          <w:color w:val="808080" w:themeColor="background1" w:themeShade="80"/>
        </w:rPr>
      </w:pPr>
    </w:p>
    <w:p w:rsidR="00871205" w:rsidRPr="00871205" w:rsidRDefault="00871205" w:rsidP="00871205">
      <w:pPr>
        <w:pStyle w:val="ListParagraph"/>
        <w:numPr>
          <w:ilvl w:val="1"/>
          <w:numId w:val="39"/>
        </w:numPr>
        <w:spacing w:after="0" w:line="240" w:lineRule="auto"/>
        <w:ind w:left="709" w:hanging="709"/>
        <w:jc w:val="both"/>
        <w:rPr>
          <w:rFonts w:ascii="Times New Roman" w:eastAsiaTheme="majorEastAsia" w:hAnsi="Times New Roman" w:cs="Times New Roman"/>
          <w:bCs/>
          <w:sz w:val="24"/>
          <w:szCs w:val="24"/>
        </w:rPr>
      </w:pPr>
      <w:r w:rsidRPr="00871205">
        <w:rPr>
          <w:rFonts w:ascii="Times New Roman" w:hAnsi="Times New Roman"/>
          <w:sz w:val="24"/>
          <w:szCs w:val="24"/>
        </w:rPr>
        <w:t xml:space="preserve">Outline the existing portfolio and risk management delegation arrangements indicating </w:t>
      </w:r>
      <w:r w:rsidR="009A6FC5">
        <w:rPr>
          <w:rFonts w:ascii="Times New Roman" w:hAnsi="Times New Roman"/>
          <w:sz w:val="24"/>
          <w:szCs w:val="24"/>
        </w:rPr>
        <w:t>the</w:t>
      </w:r>
      <w:r w:rsidRPr="00871205">
        <w:rPr>
          <w:rFonts w:ascii="Times New Roman" w:hAnsi="Times New Roman"/>
          <w:sz w:val="24"/>
          <w:szCs w:val="24"/>
        </w:rPr>
        <w:t xml:space="preserve"> functions </w:t>
      </w:r>
      <w:r w:rsidR="009A6FC5">
        <w:rPr>
          <w:rFonts w:ascii="Times New Roman" w:hAnsi="Times New Roman"/>
          <w:sz w:val="24"/>
          <w:szCs w:val="24"/>
        </w:rPr>
        <w:t>being</w:t>
      </w:r>
      <w:r w:rsidRPr="00871205">
        <w:rPr>
          <w:rFonts w:ascii="Times New Roman" w:hAnsi="Times New Roman"/>
          <w:sz w:val="24"/>
          <w:szCs w:val="24"/>
        </w:rPr>
        <w:t xml:space="preserve"> retained by the AIFM and those being delegated</w:t>
      </w:r>
      <w:r w:rsidR="00677623">
        <w:rPr>
          <w:rFonts w:ascii="Times New Roman" w:hAnsi="Times New Roman"/>
          <w:sz w:val="24"/>
          <w:szCs w:val="24"/>
        </w:rPr>
        <w:t>.</w:t>
      </w:r>
    </w:p>
    <w:p w:rsidR="00871205"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jc w:val="both"/>
        <w:rPr>
          <w:rFonts w:ascii="Times New Roman" w:hAnsi="Times New Roman"/>
          <w:b/>
          <w:i/>
          <w:sz w:val="24"/>
          <w:szCs w:val="24"/>
        </w:rPr>
      </w:pPr>
    </w:p>
    <w:p w:rsid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Outline to whom </w:t>
      </w:r>
      <w:r w:rsidR="00677623">
        <w:rPr>
          <w:rFonts w:ascii="Times New Roman" w:hAnsi="Times New Roman"/>
          <w:sz w:val="24"/>
          <w:szCs w:val="24"/>
        </w:rPr>
        <w:t>any</w:t>
      </w:r>
      <w:r w:rsidR="00677623" w:rsidRPr="00871205">
        <w:rPr>
          <w:rFonts w:ascii="Times New Roman" w:hAnsi="Times New Roman"/>
          <w:sz w:val="24"/>
          <w:szCs w:val="24"/>
        </w:rPr>
        <w:t xml:space="preserve"> </w:t>
      </w:r>
      <w:r w:rsidRPr="00871205">
        <w:rPr>
          <w:rFonts w:ascii="Times New Roman" w:hAnsi="Times New Roman"/>
          <w:sz w:val="24"/>
          <w:szCs w:val="24"/>
        </w:rPr>
        <w:t>functions are delegated, including details of the authorisation and registration status of the delegate and whether delegation is conferred on an entity belonging to the same corporate group as the AIFM</w:t>
      </w:r>
      <w:r w:rsidR="00677623">
        <w:rPr>
          <w:rFonts w:ascii="Times New Roman" w:hAnsi="Times New Roman"/>
          <w:sz w:val="24"/>
          <w:szCs w:val="24"/>
        </w:rPr>
        <w:t>.</w:t>
      </w:r>
      <w:r w:rsidRPr="00871205">
        <w:rPr>
          <w:rFonts w:ascii="Times New Roman" w:hAnsi="Times New Roman"/>
          <w:sz w:val="24"/>
          <w:szCs w:val="24"/>
        </w:rPr>
        <w:t xml:space="preserve">  </w:t>
      </w:r>
    </w:p>
    <w:p w:rsidR="00871205" w:rsidRPr="00871205" w:rsidRDefault="00871205" w:rsidP="00871205">
      <w:pPr>
        <w:pStyle w:val="ListParagraph"/>
        <w:spacing w:after="0" w:line="240" w:lineRule="auto"/>
        <w:ind w:left="709"/>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Pr="007E30ED" w:rsidRDefault="00871205" w:rsidP="00871205">
      <w:pPr>
        <w:pStyle w:val="ListParagraph"/>
        <w:spacing w:after="0" w:line="240" w:lineRule="auto"/>
        <w:ind w:left="426" w:right="84"/>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Have the risk management or portfolio management functions been delegated to a party whose interests may conflict with those of the AIFM or the investors of the AIF? </w:t>
      </w:r>
    </w:p>
    <w:p w:rsidR="00871205" w:rsidRDefault="00871205" w:rsidP="00871205">
      <w:pPr>
        <w:spacing w:after="0" w:line="240" w:lineRule="auto"/>
        <w:ind w:left="426"/>
        <w:jc w:val="both"/>
        <w:rPr>
          <w:rFonts w:ascii="Times New Roman" w:hAnsi="Times New Roman"/>
          <w:b/>
          <w:i/>
          <w:sz w:val="24"/>
          <w:szCs w:val="24"/>
        </w:rPr>
      </w:pPr>
    </w:p>
    <w:p w:rsidR="00871205" w:rsidRPr="00871205" w:rsidRDefault="00871205" w:rsidP="00871205">
      <w:pPr>
        <w:tabs>
          <w:tab w:val="left" w:pos="2160"/>
        </w:tabs>
        <w:spacing w:after="0" w:line="240" w:lineRule="auto"/>
        <w:ind w:left="426" w:firstLine="283"/>
        <w:jc w:val="both"/>
        <w:rPr>
          <w:rFonts w:ascii="Times New Roman" w:hAnsi="Times New Roman"/>
          <w:i/>
          <w:sz w:val="24"/>
          <w:szCs w:val="24"/>
        </w:rPr>
      </w:pPr>
      <w:r w:rsidRPr="00871205">
        <w:rPr>
          <w:rFonts w:ascii="Times New Roman" w:hAnsi="Times New Roman"/>
          <w:i/>
          <w:sz w:val="24"/>
          <w:szCs w:val="24"/>
        </w:rPr>
        <w:t xml:space="preserve">Yes </w:t>
      </w:r>
      <w:sdt>
        <w:sdtPr>
          <w:rPr>
            <w:rFonts w:ascii="Times New Roman" w:hAnsi="Times New Roman"/>
            <w:i/>
            <w:sz w:val="24"/>
            <w:szCs w:val="24"/>
          </w:rPr>
          <w:id w:val="-1657296203"/>
          <w14:checkbox>
            <w14:checked w14:val="0"/>
            <w14:checkedState w14:val="2612" w14:font="MS Gothic"/>
            <w14:uncheckedState w14:val="2610" w14:font="MS Gothic"/>
          </w14:checkbox>
        </w:sdtPr>
        <w:sdtEndPr/>
        <w:sdtContent>
          <w:r w:rsidR="00962BD9">
            <w:rPr>
              <w:rFonts w:ascii="MS Gothic" w:eastAsia="MS Gothic" w:hAnsi="MS Gothic" w:hint="eastAsia"/>
              <w:i/>
              <w:sz w:val="24"/>
              <w:szCs w:val="24"/>
            </w:rPr>
            <w:t>☐</w:t>
          </w:r>
        </w:sdtContent>
      </w:sdt>
      <w:r w:rsidR="00677623">
        <w:rPr>
          <w:rFonts w:ascii="Times New Roman" w:hAnsi="Times New Roman"/>
          <w:i/>
          <w:sz w:val="24"/>
          <w:szCs w:val="24"/>
        </w:rPr>
        <w:t xml:space="preserve">     </w:t>
      </w:r>
      <w:r w:rsidR="005C549C">
        <w:rPr>
          <w:rFonts w:ascii="Times New Roman" w:hAnsi="Times New Roman"/>
          <w:i/>
          <w:sz w:val="24"/>
          <w:szCs w:val="24"/>
        </w:rPr>
        <w:t>or</w:t>
      </w:r>
      <w:r w:rsidRPr="00871205">
        <w:rPr>
          <w:rFonts w:ascii="Times New Roman" w:hAnsi="Times New Roman"/>
          <w:i/>
          <w:sz w:val="24"/>
          <w:szCs w:val="24"/>
        </w:rPr>
        <w:tab/>
        <w:t xml:space="preserve">No </w:t>
      </w:r>
      <w:sdt>
        <w:sdtPr>
          <w:rPr>
            <w:rFonts w:ascii="Times New Roman" w:hAnsi="Times New Roman"/>
            <w:i/>
            <w:sz w:val="24"/>
            <w:szCs w:val="24"/>
          </w:rPr>
          <w:id w:val="623204275"/>
          <w14:checkbox>
            <w14:checked w14:val="0"/>
            <w14:checkedState w14:val="2612" w14:font="MS Gothic"/>
            <w14:uncheckedState w14:val="2610" w14:font="MS Gothic"/>
          </w14:checkbox>
        </w:sdtPr>
        <w:sdtEndPr/>
        <w:sdtContent>
          <w:r w:rsidRPr="00871205">
            <w:rPr>
              <w:rFonts w:ascii="MS Gothic" w:eastAsia="MS Gothic" w:hAnsi="MS Gothic" w:hint="eastAsia"/>
              <w:i/>
              <w:sz w:val="24"/>
              <w:szCs w:val="24"/>
            </w:rPr>
            <w:t>☐</w:t>
          </w:r>
        </w:sdtContent>
      </w:sdt>
    </w:p>
    <w:p w:rsidR="00871205" w:rsidRDefault="00871205" w:rsidP="00871205">
      <w:pPr>
        <w:spacing w:after="0" w:line="240" w:lineRule="auto"/>
        <w:ind w:left="426"/>
        <w:jc w:val="both"/>
        <w:rPr>
          <w:rFonts w:ascii="Times New Roman" w:hAnsi="Times New Roman"/>
          <w:b/>
          <w:i/>
          <w:sz w:val="24"/>
          <w:szCs w:val="24"/>
        </w:rPr>
      </w:pPr>
    </w:p>
    <w:p w:rsidR="00871205" w:rsidRPr="00192DB3" w:rsidRDefault="00871205" w:rsidP="00192DB3">
      <w:pPr>
        <w:pStyle w:val="ListParagraph"/>
        <w:numPr>
          <w:ilvl w:val="0"/>
          <w:numId w:val="44"/>
        </w:numPr>
        <w:spacing w:after="0" w:line="240" w:lineRule="auto"/>
        <w:ind w:right="84"/>
        <w:jc w:val="both"/>
        <w:rPr>
          <w:rFonts w:ascii="Times New Roman" w:hAnsi="Times New Roman"/>
          <w:sz w:val="24"/>
          <w:szCs w:val="24"/>
        </w:rPr>
      </w:pPr>
      <w:r w:rsidRPr="00192DB3">
        <w:rPr>
          <w:rFonts w:ascii="Times New Roman" w:hAnsi="Times New Roman"/>
          <w:sz w:val="24"/>
          <w:szCs w:val="24"/>
        </w:rPr>
        <w:t>If yes, outline any potential conflicts of interest and explain what arrangements are in place for such delegate to satisfy the provisions outlined in Article 20(2</w:t>
      </w:r>
      <w:proofErr w:type="gramStart"/>
      <w:r w:rsidRPr="00192DB3">
        <w:rPr>
          <w:rFonts w:ascii="Times New Roman" w:hAnsi="Times New Roman"/>
          <w:sz w:val="24"/>
          <w:szCs w:val="24"/>
        </w:rPr>
        <w:t>)(</w:t>
      </w:r>
      <w:proofErr w:type="gramEnd"/>
      <w:r w:rsidRPr="00192DB3">
        <w:rPr>
          <w:rFonts w:ascii="Times New Roman" w:hAnsi="Times New Roman"/>
          <w:sz w:val="24"/>
          <w:szCs w:val="24"/>
        </w:rPr>
        <w:t>b) of the Directive</w:t>
      </w:r>
      <w:r w:rsidR="00677623">
        <w:rPr>
          <w:rFonts w:ascii="Times New Roman" w:hAnsi="Times New Roman"/>
          <w:sz w:val="24"/>
          <w:szCs w:val="24"/>
        </w:rPr>
        <w:t>.</w:t>
      </w:r>
      <w:r w:rsidRPr="00192DB3">
        <w:rPr>
          <w:rFonts w:ascii="Times New Roman" w:hAnsi="Times New Roman"/>
          <w:sz w:val="24"/>
          <w:szCs w:val="24"/>
        </w:rPr>
        <w:t xml:space="preserve"> </w:t>
      </w:r>
    </w:p>
    <w:p w:rsidR="00C121D4" w:rsidRDefault="00C121D4"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192DB3" w:rsidRDefault="00192DB3" w:rsidP="00871205">
      <w:pPr>
        <w:pStyle w:val="ListParagraph"/>
        <w:spacing w:after="0" w:line="240" w:lineRule="auto"/>
        <w:ind w:right="226"/>
        <w:jc w:val="both"/>
        <w:rPr>
          <w:rFonts w:ascii="Times New Roman" w:hAnsi="Times New Roman"/>
          <w:sz w:val="24"/>
          <w:szCs w:val="24"/>
        </w:rPr>
      </w:pPr>
    </w:p>
    <w:p w:rsidR="007B319D" w:rsidRDefault="007B319D" w:rsidP="00871205">
      <w:pPr>
        <w:pStyle w:val="ListParagraph"/>
        <w:spacing w:after="0" w:line="240" w:lineRule="auto"/>
        <w:ind w:right="226"/>
        <w:jc w:val="both"/>
        <w:rPr>
          <w:rFonts w:ascii="Times New Roman" w:hAnsi="Times New Roman"/>
          <w:sz w:val="24"/>
          <w:szCs w:val="24"/>
        </w:rPr>
      </w:pPr>
    </w:p>
    <w:p w:rsidR="007B319D" w:rsidRDefault="007B319D" w:rsidP="00871205">
      <w:pPr>
        <w:pStyle w:val="ListParagraph"/>
        <w:spacing w:after="0" w:line="240" w:lineRule="auto"/>
        <w:ind w:right="226"/>
        <w:jc w:val="both"/>
        <w:rPr>
          <w:rFonts w:ascii="Times New Roman" w:hAnsi="Times New Roman"/>
          <w:sz w:val="24"/>
          <w:szCs w:val="24"/>
        </w:rPr>
      </w:pPr>
    </w:p>
    <w:p w:rsidR="007B319D" w:rsidRDefault="007B319D" w:rsidP="00871205">
      <w:pPr>
        <w:pStyle w:val="ListParagraph"/>
        <w:spacing w:after="0" w:line="240" w:lineRule="auto"/>
        <w:ind w:right="226"/>
        <w:jc w:val="both"/>
        <w:rPr>
          <w:rFonts w:ascii="Times New Roman" w:hAnsi="Times New Roman"/>
          <w:sz w:val="24"/>
          <w:szCs w:val="24"/>
        </w:rPr>
      </w:pPr>
    </w:p>
    <w:p w:rsidR="007B319D" w:rsidRDefault="007B319D" w:rsidP="00871205">
      <w:pPr>
        <w:pStyle w:val="ListParagraph"/>
        <w:spacing w:after="0" w:line="240" w:lineRule="auto"/>
        <w:ind w:right="226"/>
        <w:jc w:val="both"/>
        <w:rPr>
          <w:rFonts w:ascii="Times New Roman" w:hAnsi="Times New Roman"/>
          <w:sz w:val="24"/>
          <w:szCs w:val="24"/>
        </w:rPr>
      </w:pPr>
    </w:p>
    <w:p w:rsidR="00871205" w:rsidRPr="00871205" w:rsidRDefault="00871205" w:rsidP="00192DB3">
      <w:pPr>
        <w:pStyle w:val="ListParagraph"/>
        <w:numPr>
          <w:ilvl w:val="0"/>
          <w:numId w:val="44"/>
        </w:numPr>
        <w:spacing w:after="0" w:line="240" w:lineRule="auto"/>
        <w:ind w:right="226"/>
        <w:jc w:val="both"/>
        <w:rPr>
          <w:rFonts w:ascii="Times New Roman" w:hAnsi="Times New Roman"/>
          <w:sz w:val="24"/>
          <w:szCs w:val="24"/>
        </w:rPr>
      </w:pPr>
      <w:r w:rsidRPr="00871205">
        <w:rPr>
          <w:rFonts w:ascii="Times New Roman" w:hAnsi="Times New Roman"/>
          <w:sz w:val="24"/>
          <w:szCs w:val="24"/>
        </w:rPr>
        <w:lastRenderedPageBreak/>
        <w:t>If no, explain how the existing delegation arrangements are considered not to give rise to potential conflict</w:t>
      </w:r>
      <w:r w:rsidR="00677623">
        <w:rPr>
          <w:rFonts w:ascii="Times New Roman" w:hAnsi="Times New Roman"/>
          <w:sz w:val="24"/>
          <w:szCs w:val="24"/>
        </w:rPr>
        <w:t>s</w:t>
      </w:r>
      <w:r w:rsidRPr="00871205">
        <w:rPr>
          <w:rFonts w:ascii="Times New Roman" w:hAnsi="Times New Roman"/>
          <w:sz w:val="24"/>
          <w:szCs w:val="24"/>
        </w:rPr>
        <w:t xml:space="preserve"> of interest</w:t>
      </w:r>
      <w:r w:rsidR="00677623">
        <w:rPr>
          <w:rFonts w:ascii="Times New Roman" w:hAnsi="Times New Roman"/>
          <w:sz w:val="24"/>
          <w:szCs w:val="24"/>
        </w:rPr>
        <w:t>.</w:t>
      </w:r>
    </w:p>
    <w:p w:rsidR="007B319D" w:rsidRDefault="007B319D"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ind w:left="426"/>
        <w:jc w:val="both"/>
        <w:rPr>
          <w:rFonts w:ascii="Times New Roman" w:hAnsi="Times New Roman"/>
          <w:b/>
          <w:i/>
          <w:sz w:val="24"/>
          <w:szCs w:val="24"/>
        </w:rPr>
      </w:pPr>
    </w:p>
    <w:p w:rsidR="00962BD9" w:rsidRPr="004831A7" w:rsidRDefault="00962BD9" w:rsidP="00962BD9">
      <w:pPr>
        <w:spacing w:after="0" w:line="240" w:lineRule="auto"/>
        <w:ind w:firstLine="709"/>
        <w:jc w:val="both"/>
        <w:rPr>
          <w:rFonts w:ascii="Times New Roman" w:hAnsi="Times New Roman"/>
          <w:b/>
          <w:i/>
          <w:sz w:val="24"/>
          <w:szCs w:val="24"/>
          <w:u w:val="single"/>
        </w:rPr>
      </w:pPr>
      <w:r w:rsidRPr="004831A7">
        <w:rPr>
          <w:rFonts w:ascii="Times New Roman" w:hAnsi="Times New Roman"/>
          <w:b/>
          <w:i/>
          <w:sz w:val="24"/>
          <w:szCs w:val="24"/>
          <w:u w:val="single"/>
        </w:rPr>
        <w:t>Sub-Delegation</w:t>
      </w:r>
    </w:p>
    <w:p w:rsidR="00962BD9" w:rsidRDefault="00962BD9"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Outline any sub-delegation arrangements, providing details where the sub-delegate is authorised or registered and the functions being sub-delegated</w:t>
      </w:r>
      <w:r w:rsidR="00677623">
        <w:rPr>
          <w:rFonts w:ascii="Times New Roman" w:hAnsi="Times New Roman"/>
          <w:sz w:val="24"/>
          <w:szCs w:val="24"/>
        </w:rPr>
        <w:t>.</w:t>
      </w:r>
      <w:r w:rsidRPr="00871205">
        <w:rPr>
          <w:rFonts w:ascii="Times New Roman" w:hAnsi="Times New Roman"/>
          <w:sz w:val="24"/>
          <w:szCs w:val="24"/>
        </w:rPr>
        <w:t xml:space="preserve">  </w:t>
      </w:r>
    </w:p>
    <w:p w:rsidR="00871205" w:rsidRDefault="00871205"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Have the risk management or portfolio management functions been sub-delegated to a party whose interests may conflict with those of the AIFM or the investors of the AIF? </w:t>
      </w:r>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tabs>
          <w:tab w:val="left" w:pos="2160"/>
        </w:tabs>
        <w:spacing w:after="0" w:line="240" w:lineRule="auto"/>
        <w:ind w:left="426" w:firstLine="283"/>
        <w:jc w:val="both"/>
        <w:rPr>
          <w:rFonts w:ascii="Times New Roman" w:hAnsi="Times New Roman"/>
          <w:i/>
          <w:sz w:val="24"/>
          <w:szCs w:val="24"/>
        </w:rPr>
      </w:pPr>
      <w:r w:rsidRPr="00871205">
        <w:rPr>
          <w:rFonts w:ascii="Times New Roman" w:hAnsi="Times New Roman"/>
          <w:i/>
          <w:sz w:val="24"/>
          <w:szCs w:val="24"/>
        </w:rPr>
        <w:t xml:space="preserve">Yes </w:t>
      </w:r>
      <w:sdt>
        <w:sdtPr>
          <w:rPr>
            <w:rFonts w:ascii="Times New Roman" w:hAnsi="Times New Roman"/>
            <w:i/>
            <w:sz w:val="24"/>
            <w:szCs w:val="24"/>
          </w:rPr>
          <w:id w:val="-976679862"/>
          <w14:checkbox>
            <w14:checked w14:val="0"/>
            <w14:checkedState w14:val="2612" w14:font="MS Gothic"/>
            <w14:uncheckedState w14:val="2610" w14:font="MS Gothic"/>
          </w14:checkbox>
        </w:sdtPr>
        <w:sdtEndPr/>
        <w:sdtContent>
          <w:r w:rsidR="00C05CF7">
            <w:rPr>
              <w:rFonts w:ascii="MS Gothic" w:eastAsia="MS Gothic" w:hAnsi="MS Gothic" w:hint="eastAsia"/>
              <w:i/>
              <w:sz w:val="24"/>
              <w:szCs w:val="24"/>
            </w:rPr>
            <w:t>☐</w:t>
          </w:r>
        </w:sdtContent>
      </w:sdt>
      <w:r w:rsidR="00677623">
        <w:rPr>
          <w:rFonts w:ascii="Times New Roman" w:hAnsi="Times New Roman"/>
          <w:i/>
          <w:sz w:val="24"/>
          <w:szCs w:val="24"/>
        </w:rPr>
        <w:t xml:space="preserve">     </w:t>
      </w:r>
      <w:r w:rsidR="005C549C">
        <w:rPr>
          <w:rFonts w:ascii="Times New Roman" w:hAnsi="Times New Roman"/>
          <w:i/>
          <w:sz w:val="24"/>
          <w:szCs w:val="24"/>
        </w:rPr>
        <w:t>or</w:t>
      </w:r>
      <w:r w:rsidRPr="00871205">
        <w:rPr>
          <w:rFonts w:ascii="Times New Roman" w:hAnsi="Times New Roman"/>
          <w:i/>
          <w:sz w:val="24"/>
          <w:szCs w:val="24"/>
        </w:rPr>
        <w:tab/>
        <w:t xml:space="preserve">No </w:t>
      </w:r>
      <w:sdt>
        <w:sdtPr>
          <w:rPr>
            <w:rFonts w:ascii="Times New Roman" w:hAnsi="Times New Roman"/>
            <w:i/>
            <w:sz w:val="24"/>
            <w:szCs w:val="24"/>
          </w:rPr>
          <w:id w:val="1190730892"/>
          <w14:checkbox>
            <w14:checked w14:val="0"/>
            <w14:checkedState w14:val="2612" w14:font="MS Gothic"/>
            <w14:uncheckedState w14:val="2610" w14:font="MS Gothic"/>
          </w14:checkbox>
        </w:sdtPr>
        <w:sdtEndPr/>
        <w:sdtContent>
          <w:r w:rsidRPr="00871205">
            <w:rPr>
              <w:rFonts w:ascii="MS Gothic" w:eastAsia="MS Gothic" w:hAnsi="MS Gothic" w:hint="eastAsia"/>
              <w:i/>
              <w:sz w:val="24"/>
              <w:szCs w:val="24"/>
            </w:rPr>
            <w:t>☐</w:t>
          </w:r>
        </w:sdtContent>
      </w:sdt>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192DB3" w:rsidRDefault="00871205" w:rsidP="00192DB3">
      <w:pPr>
        <w:pStyle w:val="ListParagraph"/>
        <w:numPr>
          <w:ilvl w:val="0"/>
          <w:numId w:val="45"/>
        </w:numPr>
        <w:spacing w:after="0" w:line="240" w:lineRule="auto"/>
        <w:ind w:right="84"/>
        <w:jc w:val="both"/>
        <w:rPr>
          <w:rFonts w:ascii="Times New Roman" w:hAnsi="Times New Roman"/>
          <w:sz w:val="24"/>
          <w:szCs w:val="24"/>
        </w:rPr>
      </w:pPr>
      <w:r w:rsidRPr="00192DB3">
        <w:rPr>
          <w:rFonts w:ascii="Times New Roman" w:hAnsi="Times New Roman"/>
          <w:sz w:val="24"/>
          <w:szCs w:val="24"/>
        </w:rPr>
        <w:t>If yes, outline any potential conflicts of interest and explain what arrangements are in place for such delegate to satisfy the provisions outlined in Article 20(5</w:t>
      </w:r>
      <w:proofErr w:type="gramStart"/>
      <w:r w:rsidRPr="00192DB3">
        <w:rPr>
          <w:rFonts w:ascii="Times New Roman" w:hAnsi="Times New Roman"/>
          <w:sz w:val="24"/>
          <w:szCs w:val="24"/>
        </w:rPr>
        <w:t>)(</w:t>
      </w:r>
      <w:proofErr w:type="gramEnd"/>
      <w:r w:rsidRPr="00192DB3">
        <w:rPr>
          <w:rFonts w:ascii="Times New Roman" w:hAnsi="Times New Roman"/>
          <w:sz w:val="24"/>
          <w:szCs w:val="24"/>
        </w:rPr>
        <w:t xml:space="preserve">b) of the </w:t>
      </w:r>
      <w:r w:rsidR="00677623">
        <w:rPr>
          <w:rFonts w:ascii="Times New Roman" w:hAnsi="Times New Roman"/>
          <w:sz w:val="24"/>
          <w:szCs w:val="24"/>
        </w:rPr>
        <w:t>Directive.</w:t>
      </w:r>
    </w:p>
    <w:p w:rsidR="00871205" w:rsidRDefault="00871205" w:rsidP="00871205">
      <w:pPr>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spacing w:after="0" w:line="240" w:lineRule="auto"/>
        <w:ind w:left="426"/>
        <w:jc w:val="both"/>
        <w:rPr>
          <w:rFonts w:ascii="Times New Roman" w:hAnsi="Times New Roman"/>
          <w:b/>
          <w:i/>
          <w:sz w:val="24"/>
          <w:szCs w:val="24"/>
        </w:rPr>
      </w:pPr>
    </w:p>
    <w:p w:rsidR="00871205" w:rsidRDefault="00871205" w:rsidP="00192DB3">
      <w:pPr>
        <w:pStyle w:val="ListParagraph"/>
        <w:numPr>
          <w:ilvl w:val="0"/>
          <w:numId w:val="45"/>
        </w:numPr>
        <w:spacing w:after="0" w:line="240" w:lineRule="auto"/>
        <w:ind w:right="84"/>
        <w:jc w:val="both"/>
        <w:rPr>
          <w:rFonts w:ascii="Times New Roman" w:hAnsi="Times New Roman"/>
          <w:sz w:val="24"/>
          <w:szCs w:val="24"/>
        </w:rPr>
      </w:pPr>
      <w:r w:rsidRPr="00871205">
        <w:rPr>
          <w:rFonts w:ascii="Times New Roman" w:hAnsi="Times New Roman"/>
          <w:sz w:val="24"/>
          <w:szCs w:val="24"/>
        </w:rPr>
        <w:t>If no, explain how the existing delegation arrangements are considered not to give rise to potential conflict</w:t>
      </w:r>
      <w:r w:rsidR="00677623">
        <w:rPr>
          <w:rFonts w:ascii="Times New Roman" w:hAnsi="Times New Roman"/>
          <w:sz w:val="24"/>
          <w:szCs w:val="24"/>
        </w:rPr>
        <w:t>s</w:t>
      </w:r>
      <w:r w:rsidRPr="00871205">
        <w:rPr>
          <w:rFonts w:ascii="Times New Roman" w:hAnsi="Times New Roman"/>
          <w:sz w:val="24"/>
          <w:szCs w:val="24"/>
        </w:rPr>
        <w:t xml:space="preserve"> of interest</w:t>
      </w:r>
      <w:r w:rsidR="00677623">
        <w:rPr>
          <w:rFonts w:ascii="Times New Roman" w:hAnsi="Times New Roman"/>
          <w:sz w:val="24"/>
          <w:szCs w:val="24"/>
        </w:rPr>
        <w:t>.</w:t>
      </w:r>
    </w:p>
    <w:p w:rsidR="001A3B37" w:rsidRPr="00871205" w:rsidRDefault="001A3B37" w:rsidP="00871205">
      <w:pPr>
        <w:pStyle w:val="ListParagraph"/>
        <w:spacing w:after="0" w:line="240" w:lineRule="auto"/>
        <w:ind w:right="84"/>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192DB3" w:rsidRDefault="00192DB3" w:rsidP="00962BD9">
      <w:pPr>
        <w:spacing w:after="0" w:line="240" w:lineRule="auto"/>
        <w:ind w:firstLine="709"/>
        <w:jc w:val="both"/>
        <w:rPr>
          <w:rFonts w:ascii="Times New Roman" w:hAnsi="Times New Roman"/>
          <w:b/>
          <w:i/>
          <w:sz w:val="24"/>
          <w:szCs w:val="24"/>
          <w:u w:val="single"/>
        </w:rPr>
      </w:pPr>
    </w:p>
    <w:p w:rsidR="00962BD9" w:rsidRPr="004831A7" w:rsidRDefault="00962BD9" w:rsidP="00962BD9">
      <w:pPr>
        <w:spacing w:after="0" w:line="240" w:lineRule="auto"/>
        <w:ind w:firstLine="709"/>
        <w:jc w:val="both"/>
        <w:rPr>
          <w:rFonts w:ascii="Times New Roman" w:hAnsi="Times New Roman"/>
          <w:b/>
          <w:i/>
          <w:sz w:val="24"/>
          <w:szCs w:val="24"/>
          <w:u w:val="single"/>
        </w:rPr>
      </w:pPr>
      <w:r w:rsidRPr="004831A7">
        <w:rPr>
          <w:rFonts w:ascii="Times New Roman" w:hAnsi="Times New Roman"/>
          <w:b/>
          <w:i/>
          <w:sz w:val="24"/>
          <w:szCs w:val="24"/>
          <w:u w:val="single"/>
        </w:rPr>
        <w:t>Monitoring</w:t>
      </w:r>
      <w:r>
        <w:rPr>
          <w:rFonts w:ascii="Times New Roman" w:hAnsi="Times New Roman"/>
          <w:b/>
          <w:i/>
          <w:sz w:val="24"/>
          <w:szCs w:val="24"/>
          <w:u w:val="single"/>
        </w:rPr>
        <w:t>/ control</w:t>
      </w:r>
      <w:r w:rsidRPr="004831A7">
        <w:rPr>
          <w:rFonts w:ascii="Times New Roman" w:hAnsi="Times New Roman"/>
          <w:b/>
          <w:i/>
          <w:sz w:val="24"/>
          <w:szCs w:val="24"/>
          <w:u w:val="single"/>
        </w:rPr>
        <w:t xml:space="preserve"> arrangements</w:t>
      </w:r>
      <w:r>
        <w:rPr>
          <w:rFonts w:ascii="Times New Roman" w:hAnsi="Times New Roman"/>
          <w:b/>
          <w:i/>
          <w:sz w:val="24"/>
          <w:szCs w:val="24"/>
          <w:u w:val="single"/>
        </w:rPr>
        <w:t xml:space="preserve"> for delegated functions</w:t>
      </w:r>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Indicate who is responsible </w:t>
      </w:r>
      <w:r w:rsidR="00677623">
        <w:rPr>
          <w:rFonts w:ascii="Times New Roman" w:hAnsi="Times New Roman"/>
          <w:sz w:val="24"/>
          <w:szCs w:val="24"/>
        </w:rPr>
        <w:t>within</w:t>
      </w:r>
      <w:r w:rsidR="00677623" w:rsidRPr="00871205">
        <w:rPr>
          <w:rFonts w:ascii="Times New Roman" w:hAnsi="Times New Roman"/>
          <w:sz w:val="24"/>
          <w:szCs w:val="24"/>
        </w:rPr>
        <w:t xml:space="preserve"> </w:t>
      </w:r>
      <w:r w:rsidRPr="00871205">
        <w:rPr>
          <w:rFonts w:ascii="Times New Roman" w:hAnsi="Times New Roman"/>
          <w:sz w:val="24"/>
          <w:szCs w:val="24"/>
        </w:rPr>
        <w:t>the AIFM for supervising the delegated functions to ensure that these are undertaken in compliance with applicable law and regulatory requirements</w:t>
      </w:r>
      <w:r w:rsidR="00677623">
        <w:rPr>
          <w:rFonts w:ascii="Times New Roman" w:hAnsi="Times New Roman"/>
          <w:sz w:val="24"/>
          <w:szCs w:val="24"/>
        </w:rPr>
        <w:t>.</w:t>
      </w:r>
      <w:r w:rsidRPr="00871205">
        <w:rPr>
          <w:rFonts w:ascii="Times New Roman" w:hAnsi="Times New Roman"/>
          <w:sz w:val="24"/>
          <w:szCs w:val="24"/>
        </w:rPr>
        <w:t xml:space="preserve"> </w:t>
      </w:r>
    </w:p>
    <w:p w:rsidR="00871205"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Pr="00871205" w:rsidRDefault="00871205" w:rsidP="00871205">
      <w:pPr>
        <w:pStyle w:val="ListParagraph"/>
        <w:spacing w:after="0" w:line="240" w:lineRule="auto"/>
        <w:jc w:val="both"/>
        <w:rPr>
          <w:rFonts w:ascii="Times New Roman" w:hAnsi="Times New Roman"/>
          <w:sz w:val="24"/>
          <w:szCs w:val="24"/>
        </w:rPr>
      </w:pPr>
    </w:p>
    <w:p w:rsidR="00871205" w:rsidRPr="00192DB3" w:rsidRDefault="00677623" w:rsidP="00871205">
      <w:pPr>
        <w:pStyle w:val="ListParagraph"/>
        <w:numPr>
          <w:ilvl w:val="1"/>
          <w:numId w:val="39"/>
        </w:numPr>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Provide a general overview</w:t>
      </w:r>
      <w:r w:rsidRPr="00192DB3">
        <w:rPr>
          <w:rFonts w:ascii="Times New Roman" w:hAnsi="Times New Roman"/>
          <w:sz w:val="24"/>
          <w:szCs w:val="24"/>
        </w:rPr>
        <w:t xml:space="preserve"> </w:t>
      </w:r>
      <w:r w:rsidR="0048531D">
        <w:rPr>
          <w:rFonts w:ascii="Times New Roman" w:hAnsi="Times New Roman"/>
          <w:sz w:val="24"/>
          <w:szCs w:val="24"/>
        </w:rPr>
        <w:t xml:space="preserve">of </w:t>
      </w:r>
      <w:r w:rsidR="00871205" w:rsidRPr="00192DB3">
        <w:rPr>
          <w:rFonts w:ascii="Times New Roman" w:hAnsi="Times New Roman"/>
          <w:sz w:val="24"/>
          <w:szCs w:val="24"/>
        </w:rPr>
        <w:t>the methods and procedures for monitoring and reviewing on an on-going basis the services provided by the delegates</w:t>
      </w:r>
      <w:r w:rsidR="0048531D">
        <w:rPr>
          <w:rFonts w:ascii="Times New Roman" w:hAnsi="Times New Roman"/>
          <w:sz w:val="24"/>
          <w:szCs w:val="24"/>
        </w:rPr>
        <w:t>.</w:t>
      </w:r>
    </w:p>
    <w:p w:rsidR="00871205" w:rsidRPr="00192DB3"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192DB3" w:rsidTr="00087790">
        <w:trPr>
          <w:trHeight w:val="276"/>
        </w:trPr>
        <w:tc>
          <w:tcPr>
            <w:tcW w:w="8647" w:type="dxa"/>
            <w:vMerge w:val="restart"/>
            <w:shd w:val="clear" w:color="000000" w:fill="FFFF00"/>
            <w:hideMark/>
          </w:tcPr>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192DB3"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tc>
      </w:tr>
      <w:tr w:rsidR="00871205" w:rsidRPr="00192DB3" w:rsidTr="00087790">
        <w:trPr>
          <w:trHeight w:val="276"/>
        </w:trPr>
        <w:tc>
          <w:tcPr>
            <w:tcW w:w="8647" w:type="dxa"/>
            <w:vMerge/>
            <w:vAlign w:val="center"/>
            <w:hideMark/>
          </w:tcPr>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tc>
      </w:tr>
    </w:tbl>
    <w:p w:rsidR="00871205" w:rsidRPr="00192DB3" w:rsidRDefault="00871205" w:rsidP="00871205">
      <w:pPr>
        <w:pStyle w:val="ListParagraph"/>
        <w:spacing w:after="0" w:line="240" w:lineRule="auto"/>
        <w:jc w:val="both"/>
        <w:rPr>
          <w:rFonts w:ascii="Times New Roman" w:hAnsi="Times New Roman"/>
          <w:b/>
          <w:i/>
          <w:sz w:val="24"/>
          <w:szCs w:val="24"/>
        </w:rPr>
      </w:pPr>
    </w:p>
    <w:p w:rsidR="00871205" w:rsidRPr="00192DB3" w:rsidRDefault="00871205" w:rsidP="00962BD9">
      <w:pPr>
        <w:pStyle w:val="ListParagraph"/>
        <w:numPr>
          <w:ilvl w:val="1"/>
          <w:numId w:val="39"/>
        </w:numPr>
        <w:spacing w:after="0" w:line="240" w:lineRule="auto"/>
        <w:ind w:left="709" w:hanging="709"/>
        <w:jc w:val="both"/>
        <w:rPr>
          <w:rFonts w:ascii="Times New Roman" w:hAnsi="Times New Roman"/>
          <w:b/>
          <w:i/>
          <w:sz w:val="24"/>
          <w:szCs w:val="24"/>
        </w:rPr>
      </w:pPr>
      <w:r w:rsidRPr="00192DB3">
        <w:rPr>
          <w:rFonts w:ascii="Times New Roman" w:hAnsi="Times New Roman"/>
          <w:sz w:val="24"/>
          <w:szCs w:val="24"/>
        </w:rPr>
        <w:t>Provide details of the frequency of reporting in relation to the services provided by the delegates both in terms of reporting from the delegate to the AIFM and also internally to senior management / Board of Directors</w:t>
      </w:r>
      <w:r w:rsidR="00962BD9" w:rsidRPr="00192DB3">
        <w:rPr>
          <w:rFonts w:ascii="Times New Roman" w:hAnsi="Times New Roman"/>
          <w:sz w:val="24"/>
          <w:szCs w:val="24"/>
        </w:rPr>
        <w:t>/ supervisory function</w:t>
      </w:r>
      <w:r w:rsidR="00711D99">
        <w:rPr>
          <w:rFonts w:ascii="Times New Roman" w:hAnsi="Times New Roman"/>
          <w:sz w:val="24"/>
          <w:szCs w:val="24"/>
        </w:rPr>
        <w:t>.</w:t>
      </w:r>
    </w:p>
    <w:p w:rsidR="00962BD9" w:rsidRDefault="00962BD9" w:rsidP="00962BD9">
      <w:pPr>
        <w:pStyle w:val="ListParagraph"/>
        <w:spacing w:after="0" w:line="240" w:lineRule="auto"/>
        <w:ind w:left="420"/>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FE6778" w:rsidRDefault="00FE6778" w:rsidP="00962BD9">
      <w:pPr>
        <w:autoSpaceDE w:val="0"/>
        <w:autoSpaceDN w:val="0"/>
        <w:adjustRightInd w:val="0"/>
        <w:spacing w:after="0" w:line="240" w:lineRule="auto"/>
        <w:ind w:right="84" w:firstLine="709"/>
        <w:jc w:val="both"/>
        <w:rPr>
          <w:rFonts w:ascii="Times New Roman" w:hAnsi="Times New Roman"/>
          <w:b/>
          <w:i/>
          <w:sz w:val="24"/>
          <w:szCs w:val="24"/>
          <w:u w:val="single"/>
        </w:rPr>
      </w:pPr>
    </w:p>
    <w:p w:rsidR="00962BD9" w:rsidRPr="004831A7" w:rsidRDefault="00962BD9" w:rsidP="00962BD9">
      <w:pPr>
        <w:autoSpaceDE w:val="0"/>
        <w:autoSpaceDN w:val="0"/>
        <w:adjustRightInd w:val="0"/>
        <w:spacing w:after="0" w:line="240" w:lineRule="auto"/>
        <w:ind w:right="84" w:firstLine="709"/>
        <w:jc w:val="both"/>
        <w:rPr>
          <w:rFonts w:ascii="Times New Roman" w:hAnsi="Times New Roman"/>
          <w:b/>
          <w:i/>
          <w:sz w:val="24"/>
          <w:szCs w:val="24"/>
          <w:u w:val="single"/>
        </w:rPr>
      </w:pPr>
      <w:r>
        <w:rPr>
          <w:rFonts w:ascii="Times New Roman" w:hAnsi="Times New Roman"/>
          <w:b/>
          <w:i/>
          <w:sz w:val="24"/>
          <w:szCs w:val="24"/>
          <w:u w:val="single"/>
        </w:rPr>
        <w:t>R</w:t>
      </w:r>
      <w:r w:rsidRPr="004831A7">
        <w:rPr>
          <w:rFonts w:ascii="Times New Roman" w:hAnsi="Times New Roman"/>
          <w:b/>
          <w:i/>
          <w:sz w:val="24"/>
          <w:szCs w:val="24"/>
          <w:u w:val="single"/>
        </w:rPr>
        <w:t xml:space="preserve">ationale for </w:t>
      </w:r>
      <w:r w:rsidR="004A13E4">
        <w:rPr>
          <w:rFonts w:ascii="Times New Roman" w:hAnsi="Times New Roman"/>
          <w:b/>
          <w:i/>
          <w:sz w:val="24"/>
          <w:szCs w:val="24"/>
          <w:u w:val="single"/>
        </w:rPr>
        <w:t>D</w:t>
      </w:r>
      <w:r w:rsidRPr="004831A7">
        <w:rPr>
          <w:rFonts w:ascii="Times New Roman" w:hAnsi="Times New Roman"/>
          <w:b/>
          <w:i/>
          <w:sz w:val="24"/>
          <w:szCs w:val="24"/>
          <w:u w:val="single"/>
        </w:rPr>
        <w:t xml:space="preserve">elegation </w:t>
      </w:r>
    </w:p>
    <w:p w:rsidR="00962BD9" w:rsidRDefault="00962BD9" w:rsidP="00962BD9">
      <w:pPr>
        <w:pStyle w:val="ListParagraph"/>
        <w:spacing w:after="0" w:line="240" w:lineRule="auto"/>
        <w:ind w:left="420"/>
        <w:jc w:val="both"/>
        <w:rPr>
          <w:rFonts w:ascii="Times New Roman" w:hAnsi="Times New Roman"/>
          <w:sz w:val="24"/>
          <w:szCs w:val="24"/>
        </w:rPr>
      </w:pPr>
    </w:p>
    <w:p w:rsidR="00871205" w:rsidRDefault="00871205" w:rsidP="00962BD9">
      <w:pPr>
        <w:pStyle w:val="ListParagraph"/>
        <w:numPr>
          <w:ilvl w:val="1"/>
          <w:numId w:val="39"/>
        </w:numPr>
        <w:spacing w:after="0" w:line="240" w:lineRule="auto"/>
        <w:ind w:left="709" w:hanging="709"/>
        <w:jc w:val="both"/>
        <w:rPr>
          <w:rFonts w:ascii="Times New Roman" w:hAnsi="Times New Roman"/>
          <w:sz w:val="24"/>
          <w:szCs w:val="24"/>
        </w:rPr>
      </w:pPr>
      <w:r w:rsidRPr="00962BD9">
        <w:rPr>
          <w:rFonts w:ascii="Times New Roman" w:hAnsi="Times New Roman"/>
          <w:sz w:val="24"/>
          <w:szCs w:val="24"/>
        </w:rPr>
        <w:t xml:space="preserve">Provide a detailed description, explanation and evidence of the objective reasons for </w:t>
      </w:r>
      <w:r w:rsidR="00711D99">
        <w:rPr>
          <w:rFonts w:ascii="Times New Roman" w:hAnsi="Times New Roman"/>
          <w:sz w:val="24"/>
          <w:szCs w:val="24"/>
        </w:rPr>
        <w:t xml:space="preserve">the </w:t>
      </w:r>
      <w:r w:rsidRPr="00962BD9">
        <w:rPr>
          <w:rFonts w:ascii="Times New Roman" w:hAnsi="Times New Roman"/>
          <w:sz w:val="24"/>
          <w:szCs w:val="24"/>
        </w:rPr>
        <w:t>delegation</w:t>
      </w:r>
      <w:r w:rsidR="00711D99">
        <w:rPr>
          <w:rFonts w:ascii="Times New Roman" w:hAnsi="Times New Roman"/>
          <w:sz w:val="24"/>
          <w:szCs w:val="24"/>
        </w:rPr>
        <w:t xml:space="preserve"> arrangements. </w:t>
      </w:r>
    </w:p>
    <w:p w:rsidR="00962BD9" w:rsidRPr="00962BD9" w:rsidRDefault="00962BD9" w:rsidP="00962BD9">
      <w:pPr>
        <w:pStyle w:val="ListParagraph"/>
        <w:spacing w:after="0" w:line="240" w:lineRule="auto"/>
        <w:ind w:left="709"/>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871205" w:rsidRPr="00962BD9" w:rsidRDefault="00871205" w:rsidP="00871205">
      <w:pPr>
        <w:autoSpaceDE w:val="0"/>
        <w:autoSpaceDN w:val="0"/>
        <w:adjustRightInd w:val="0"/>
        <w:spacing w:after="0" w:line="240" w:lineRule="auto"/>
        <w:ind w:left="900"/>
        <w:jc w:val="both"/>
        <w:rPr>
          <w:rFonts w:ascii="Times New Roman" w:hAnsi="Times New Roman"/>
          <w:sz w:val="24"/>
          <w:szCs w:val="24"/>
        </w:rPr>
      </w:pPr>
    </w:p>
    <w:p w:rsidR="00962BD9" w:rsidRPr="00962BD9" w:rsidRDefault="00962BD9" w:rsidP="00962BD9">
      <w:pPr>
        <w:pStyle w:val="ListParagraph"/>
        <w:numPr>
          <w:ilvl w:val="1"/>
          <w:numId w:val="39"/>
        </w:numPr>
        <w:spacing w:after="0" w:line="240" w:lineRule="auto"/>
        <w:ind w:left="709" w:hanging="709"/>
        <w:jc w:val="both"/>
        <w:rPr>
          <w:rFonts w:ascii="Times New Roman" w:hAnsi="Times New Roman"/>
          <w:sz w:val="24"/>
          <w:szCs w:val="24"/>
        </w:rPr>
      </w:pPr>
      <w:r w:rsidRPr="00962BD9">
        <w:rPr>
          <w:rFonts w:ascii="Times New Roman" w:hAnsi="Times New Roman"/>
          <w:sz w:val="24"/>
          <w:szCs w:val="24"/>
        </w:rPr>
        <w:t>Provide details justifying the extent of delegation of the Licence Holder with reference to the following criteria:</w:t>
      </w:r>
    </w:p>
    <w:p w:rsidR="00962BD9" w:rsidRPr="004831A7" w:rsidRDefault="00962BD9" w:rsidP="00962BD9">
      <w:pPr>
        <w:spacing w:after="0" w:line="240" w:lineRule="auto"/>
        <w:ind w:right="84"/>
        <w:rPr>
          <w:rFonts w:ascii="Times New Roman" w:hAnsi="Times New Roman"/>
          <w:sz w:val="24"/>
          <w:szCs w:val="24"/>
        </w:rPr>
      </w:pPr>
    </w:p>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rPr>
      </w:pPr>
      <w:r w:rsidRPr="004831A7">
        <w:rPr>
          <w:rFonts w:ascii="Times New Roman" w:hAnsi="Times New Roman"/>
          <w:sz w:val="24"/>
          <w:szCs w:val="24"/>
          <w:lang w:eastAsia="en-GB"/>
        </w:rPr>
        <w:t xml:space="preserve">the types of assets the </w:t>
      </w:r>
      <w:r>
        <w:rPr>
          <w:rFonts w:ascii="Times New Roman" w:hAnsi="Times New Roman"/>
          <w:sz w:val="24"/>
          <w:szCs w:val="24"/>
          <w:lang w:eastAsia="en-GB"/>
        </w:rPr>
        <w:t>fund</w:t>
      </w:r>
      <w:r w:rsidRPr="004831A7">
        <w:rPr>
          <w:rFonts w:ascii="Times New Roman" w:hAnsi="Times New Roman"/>
          <w:sz w:val="24"/>
          <w:szCs w:val="24"/>
          <w:lang w:eastAsia="en-GB"/>
        </w:rPr>
        <w:t xml:space="preserve"> is invested in, and the importance of the assets managed under delegation for the risk and return profile of the </w:t>
      </w:r>
      <w:r>
        <w:rPr>
          <w:rFonts w:ascii="Times New Roman" w:hAnsi="Times New Roman"/>
          <w:sz w:val="24"/>
          <w:szCs w:val="24"/>
          <w:lang w:eastAsia="en-GB"/>
        </w:rPr>
        <w:t>fund</w:t>
      </w:r>
      <w:r w:rsidR="00711D99">
        <w:rPr>
          <w:rFonts w:ascii="Times New Roman" w:hAnsi="Times New Roman"/>
          <w:sz w:val="24"/>
          <w:szCs w:val="24"/>
          <w:lang w:eastAsia="en-GB"/>
        </w:rPr>
        <w:t>;</w:t>
      </w:r>
    </w:p>
    <w:p w:rsidR="00871205" w:rsidRDefault="00871205" w:rsidP="00871205">
      <w:pPr>
        <w:autoSpaceDE w:val="0"/>
        <w:autoSpaceDN w:val="0"/>
        <w:adjustRightInd w:val="0"/>
        <w:spacing w:after="0" w:line="240" w:lineRule="auto"/>
        <w:ind w:left="900"/>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autoSpaceDE w:val="0"/>
        <w:autoSpaceDN w:val="0"/>
        <w:adjustRightInd w:val="0"/>
        <w:spacing w:after="0" w:line="240" w:lineRule="auto"/>
        <w:ind w:left="900"/>
        <w:jc w:val="both"/>
        <w:rPr>
          <w:rFonts w:ascii="Times New Roman" w:hAnsi="Times New Roman"/>
          <w:b/>
          <w:i/>
          <w:sz w:val="24"/>
          <w:szCs w:val="24"/>
        </w:rPr>
      </w:pPr>
    </w:p>
    <w:p w:rsidR="00962BD9"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t xml:space="preserve">the importance of the assets under delegation for the achievement of the investment goals of the </w:t>
      </w:r>
      <w:r>
        <w:rPr>
          <w:rFonts w:ascii="Times New Roman" w:hAnsi="Times New Roman"/>
          <w:sz w:val="24"/>
          <w:szCs w:val="24"/>
          <w:lang w:eastAsia="en-GB"/>
        </w:rPr>
        <w:t>fund</w:t>
      </w:r>
      <w:r w:rsidR="00711D99">
        <w:rPr>
          <w:rFonts w:ascii="Times New Roman" w:hAnsi="Times New Roman"/>
          <w:sz w:val="24"/>
          <w:szCs w:val="24"/>
          <w:lang w:eastAsia="en-GB"/>
        </w:rPr>
        <w:t>;</w:t>
      </w:r>
    </w:p>
    <w:p w:rsidR="00962BD9" w:rsidRDefault="00962BD9" w:rsidP="00962BD9">
      <w:pPr>
        <w:pStyle w:val="ListParagraph"/>
        <w:autoSpaceDE w:val="0"/>
        <w:autoSpaceDN w:val="0"/>
        <w:adjustRightInd w:val="0"/>
        <w:spacing w:after="0" w:line="240" w:lineRule="auto"/>
        <w:ind w:left="1003" w:right="84"/>
        <w:jc w:val="both"/>
        <w:rPr>
          <w:rFonts w:ascii="Times New Roman" w:hAnsi="Times New Roman"/>
          <w:i/>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Default="00962BD9" w:rsidP="00962BD9">
      <w:pPr>
        <w:pStyle w:val="ListParagraph"/>
        <w:autoSpaceDE w:val="0"/>
        <w:autoSpaceDN w:val="0"/>
        <w:adjustRightInd w:val="0"/>
        <w:spacing w:after="0" w:line="240" w:lineRule="auto"/>
        <w:ind w:left="1003" w:right="84"/>
        <w:jc w:val="both"/>
        <w:rPr>
          <w:rFonts w:ascii="Times New Roman" w:hAnsi="Times New Roman"/>
          <w:i/>
          <w:sz w:val="24"/>
          <w:szCs w:val="24"/>
          <w:lang w:eastAsia="en-GB"/>
        </w:rPr>
      </w:pPr>
    </w:p>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t xml:space="preserve">the geographical and sectoral spread of the </w:t>
      </w:r>
      <w:r>
        <w:rPr>
          <w:rFonts w:ascii="Times New Roman" w:hAnsi="Times New Roman"/>
          <w:sz w:val="24"/>
          <w:szCs w:val="24"/>
          <w:lang w:eastAsia="en-GB"/>
        </w:rPr>
        <w:t>fund</w:t>
      </w:r>
      <w:r w:rsidRPr="004831A7">
        <w:rPr>
          <w:rFonts w:ascii="Times New Roman" w:hAnsi="Times New Roman"/>
          <w:sz w:val="24"/>
          <w:szCs w:val="24"/>
          <w:lang w:eastAsia="en-GB"/>
        </w:rPr>
        <w:t>'s investments</w:t>
      </w:r>
      <w:r w:rsidR="00711D99">
        <w:rPr>
          <w:rFonts w:ascii="Times New Roman" w:hAnsi="Times New Roman"/>
          <w:sz w:val="24"/>
          <w:szCs w:val="24"/>
          <w:lang w:eastAsia="en-GB"/>
        </w:rPr>
        <w:t>;</w:t>
      </w:r>
    </w:p>
    <w:p w:rsidR="00871205" w:rsidRDefault="00871205" w:rsidP="00871205">
      <w:pPr>
        <w:pStyle w:val="ListParagraph"/>
        <w:autoSpaceDE w:val="0"/>
        <w:autoSpaceDN w:val="0"/>
        <w:adjustRightInd w:val="0"/>
        <w:spacing w:after="0" w:line="240" w:lineRule="auto"/>
        <w:jc w:val="both"/>
        <w:rPr>
          <w:rFonts w:ascii="Times New Roman" w:hAnsi="Times New Roman"/>
          <w:i/>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8E31CE"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lastRenderedPageBreak/>
        <w:t xml:space="preserve">the risk profile of the </w:t>
      </w:r>
      <w:r>
        <w:rPr>
          <w:rFonts w:ascii="Times New Roman" w:hAnsi="Times New Roman"/>
          <w:sz w:val="24"/>
          <w:szCs w:val="24"/>
          <w:lang w:eastAsia="en-GB"/>
        </w:rPr>
        <w:t>fund</w:t>
      </w:r>
      <w:r w:rsidRPr="004831A7">
        <w:rPr>
          <w:rFonts w:ascii="Times New Roman" w:hAnsi="Times New Roman"/>
          <w:sz w:val="24"/>
          <w:szCs w:val="24"/>
          <w:lang w:eastAsia="en-GB"/>
        </w:rPr>
        <w:t xml:space="preserve"> and the type of investment strategies pursued by the </w:t>
      </w:r>
      <w:r>
        <w:rPr>
          <w:rFonts w:ascii="Times New Roman" w:hAnsi="Times New Roman"/>
          <w:sz w:val="24"/>
          <w:szCs w:val="24"/>
          <w:lang w:eastAsia="en-GB"/>
        </w:rPr>
        <w:t>fund</w:t>
      </w:r>
      <w:r w:rsidR="00711D99">
        <w:rPr>
          <w:rFonts w:ascii="Times New Roman" w:hAnsi="Times New Roman"/>
          <w:sz w:val="24"/>
          <w:szCs w:val="24"/>
          <w:lang w:eastAsia="en-GB"/>
        </w:rPr>
        <w:t>;</w:t>
      </w:r>
      <w:r w:rsidRPr="004831A7">
        <w:rPr>
          <w:rFonts w:ascii="Times New Roman" w:hAnsi="Times New Roman"/>
          <w:sz w:val="24"/>
          <w:szCs w:val="24"/>
          <w:lang w:eastAsia="en-GB"/>
        </w:rPr>
        <w:t xml:space="preserve"> </w:t>
      </w:r>
    </w:p>
    <w:p w:rsidR="004A13E4" w:rsidRDefault="004A13E4" w:rsidP="00871205">
      <w:pPr>
        <w:autoSpaceDE w:val="0"/>
        <w:autoSpaceDN w:val="0"/>
        <w:adjustRightInd w:val="0"/>
        <w:spacing w:after="0" w:line="240" w:lineRule="auto"/>
        <w:ind w:left="900"/>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Pr="004A13E4" w:rsidRDefault="00962BD9" w:rsidP="00087790">
            <w:pPr>
              <w:spacing w:after="0" w:line="240" w:lineRule="auto"/>
              <w:jc w:val="both"/>
              <w:rPr>
                <w:rFonts w:ascii="Times New Roman" w:eastAsia="Times New Roman" w:hAnsi="Times New Roman" w:cs="Times New Roman"/>
                <w:b/>
                <w:sz w:val="24"/>
                <w:szCs w:val="24"/>
                <w:lang w:eastAsia="en-GB"/>
              </w:rPr>
            </w:pPr>
          </w:p>
          <w:p w:rsidR="00962BD9" w:rsidRPr="004A13E4" w:rsidRDefault="007B319D" w:rsidP="00087790">
            <w:pPr>
              <w:spacing w:after="0" w:line="240" w:lineRule="auto"/>
              <w:jc w:val="both"/>
              <w:rPr>
                <w:rFonts w:ascii="Times New Roman" w:eastAsia="Times New Roman" w:hAnsi="Times New Roman" w:cs="Times New Roman"/>
                <w:b/>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4A13E4" w:rsidRDefault="00962BD9" w:rsidP="00087790">
            <w:pPr>
              <w:spacing w:after="0" w:line="240" w:lineRule="auto"/>
              <w:jc w:val="both"/>
              <w:rPr>
                <w:rFonts w:ascii="Times New Roman" w:eastAsia="Times New Roman" w:hAnsi="Times New Roman" w:cs="Times New Roman"/>
                <w:b/>
                <w:sz w:val="24"/>
                <w:szCs w:val="24"/>
                <w:lang w:eastAsia="en-GB"/>
              </w:rPr>
            </w:pPr>
          </w:p>
          <w:p w:rsidR="00962BD9" w:rsidRPr="004A13E4" w:rsidRDefault="00962BD9" w:rsidP="00087790">
            <w:pPr>
              <w:spacing w:after="0" w:line="240" w:lineRule="auto"/>
              <w:jc w:val="both"/>
              <w:rPr>
                <w:rFonts w:ascii="Times New Roman" w:eastAsia="Times New Roman" w:hAnsi="Times New Roman" w:cs="Times New Roman"/>
                <w:b/>
                <w:sz w:val="18"/>
                <w:szCs w:val="18"/>
                <w:lang w:eastAsia="en-GB"/>
              </w:rPr>
            </w:pPr>
          </w:p>
        </w:tc>
      </w:tr>
      <w:tr w:rsidR="00962BD9" w:rsidRPr="00C01DA9" w:rsidTr="00087790">
        <w:trPr>
          <w:trHeight w:val="244"/>
        </w:trPr>
        <w:tc>
          <w:tcPr>
            <w:tcW w:w="8647" w:type="dxa"/>
            <w:vMerge/>
            <w:vAlign w:val="center"/>
            <w:hideMark/>
          </w:tcPr>
          <w:p w:rsidR="00962BD9" w:rsidRPr="004A13E4" w:rsidRDefault="00962BD9" w:rsidP="00087790">
            <w:pPr>
              <w:spacing w:after="0" w:line="240" w:lineRule="auto"/>
              <w:jc w:val="both"/>
              <w:rPr>
                <w:rFonts w:ascii="Times New Roman" w:eastAsia="Times New Roman" w:hAnsi="Times New Roman" w:cs="Times New Roman"/>
                <w:b/>
                <w:sz w:val="18"/>
                <w:szCs w:val="18"/>
                <w:lang w:eastAsia="en-GB"/>
              </w:rPr>
            </w:pPr>
          </w:p>
        </w:tc>
      </w:tr>
    </w:tbl>
    <w:p w:rsidR="00962BD9" w:rsidRDefault="00962BD9" w:rsidP="00871205">
      <w:pPr>
        <w:autoSpaceDE w:val="0"/>
        <w:autoSpaceDN w:val="0"/>
        <w:adjustRightInd w:val="0"/>
        <w:spacing w:after="0" w:line="240" w:lineRule="auto"/>
        <w:ind w:left="900"/>
        <w:jc w:val="both"/>
        <w:rPr>
          <w:rFonts w:ascii="Times New Roman" w:hAnsi="Times New Roman"/>
          <w:b/>
          <w:i/>
          <w:sz w:val="24"/>
          <w:szCs w:val="24"/>
        </w:rPr>
      </w:pPr>
    </w:p>
    <w:p w:rsidR="00962BD9" w:rsidRDefault="00962BD9" w:rsidP="00962BD9">
      <w:pPr>
        <w:pStyle w:val="ListParagraph"/>
        <w:numPr>
          <w:ilvl w:val="0"/>
          <w:numId w:val="38"/>
        </w:numPr>
        <w:autoSpaceDE w:val="0"/>
        <w:autoSpaceDN w:val="0"/>
        <w:adjustRightInd w:val="0"/>
        <w:spacing w:after="0" w:line="240" w:lineRule="auto"/>
        <w:ind w:left="720" w:right="84"/>
        <w:jc w:val="both"/>
        <w:rPr>
          <w:rFonts w:ascii="Times New Roman" w:hAnsi="Times New Roman"/>
          <w:sz w:val="24"/>
          <w:szCs w:val="24"/>
          <w:lang w:eastAsia="en-GB"/>
        </w:rPr>
      </w:pPr>
      <w:r w:rsidRPr="00A11967">
        <w:rPr>
          <w:rFonts w:ascii="Times New Roman" w:hAnsi="Times New Roman"/>
          <w:sz w:val="24"/>
          <w:szCs w:val="24"/>
          <w:lang w:eastAsia="en-GB"/>
        </w:rPr>
        <w:t xml:space="preserve">the </w:t>
      </w:r>
      <w:r>
        <w:rPr>
          <w:rFonts w:ascii="Times New Roman" w:hAnsi="Times New Roman"/>
          <w:sz w:val="24"/>
          <w:szCs w:val="24"/>
          <w:lang w:eastAsia="en-GB"/>
        </w:rPr>
        <w:t>type of tasks delegated in relation to those retained</w:t>
      </w:r>
      <w:r w:rsidR="00711D99">
        <w:rPr>
          <w:rFonts w:ascii="Times New Roman" w:hAnsi="Times New Roman"/>
          <w:sz w:val="24"/>
          <w:szCs w:val="24"/>
          <w:lang w:eastAsia="en-GB"/>
        </w:rPr>
        <w:t>;</w:t>
      </w:r>
      <w:r w:rsidRPr="00A11967">
        <w:rPr>
          <w:rFonts w:ascii="Times New Roman" w:hAnsi="Times New Roman"/>
          <w:sz w:val="24"/>
          <w:szCs w:val="24"/>
          <w:lang w:eastAsia="en-GB"/>
        </w:rPr>
        <w:t xml:space="preserve"> </w:t>
      </w:r>
    </w:p>
    <w:p w:rsidR="00962BD9" w:rsidRPr="00A11967" w:rsidRDefault="00962BD9" w:rsidP="00962BD9">
      <w:pPr>
        <w:pStyle w:val="ListParagraph"/>
        <w:autoSpaceDE w:val="0"/>
        <w:autoSpaceDN w:val="0"/>
        <w:adjustRightInd w:val="0"/>
        <w:spacing w:after="0" w:line="240" w:lineRule="auto"/>
        <w:ind w:right="84"/>
        <w:jc w:val="both"/>
        <w:rPr>
          <w:rFonts w:ascii="Times New Roman" w:hAnsi="Times New Roman"/>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Default="00962BD9" w:rsidP="00871205">
      <w:pPr>
        <w:autoSpaceDE w:val="0"/>
        <w:autoSpaceDN w:val="0"/>
        <w:adjustRightInd w:val="0"/>
        <w:spacing w:after="0" w:line="240" w:lineRule="auto"/>
        <w:ind w:left="900"/>
        <w:jc w:val="both"/>
        <w:rPr>
          <w:rFonts w:ascii="Times New Roman" w:hAnsi="Times New Roman"/>
          <w:b/>
          <w:i/>
          <w:sz w:val="24"/>
          <w:szCs w:val="24"/>
        </w:rPr>
      </w:pPr>
    </w:p>
    <w:p w:rsidR="00962BD9" w:rsidRPr="00A11967" w:rsidRDefault="00962BD9" w:rsidP="00962BD9">
      <w:pPr>
        <w:pStyle w:val="ListParagraph"/>
        <w:numPr>
          <w:ilvl w:val="0"/>
          <w:numId w:val="38"/>
        </w:numPr>
        <w:autoSpaceDE w:val="0"/>
        <w:autoSpaceDN w:val="0"/>
        <w:adjustRightInd w:val="0"/>
        <w:spacing w:after="0" w:line="240" w:lineRule="auto"/>
        <w:ind w:left="720" w:right="84"/>
        <w:jc w:val="both"/>
        <w:rPr>
          <w:rFonts w:ascii="Times New Roman" w:hAnsi="Times New Roman"/>
          <w:sz w:val="24"/>
          <w:szCs w:val="24"/>
          <w:lang w:eastAsia="en-GB"/>
        </w:rPr>
      </w:pPr>
      <w:proofErr w:type="gramStart"/>
      <w:r>
        <w:rPr>
          <w:rFonts w:ascii="Times New Roman" w:hAnsi="Times New Roman"/>
          <w:sz w:val="24"/>
          <w:szCs w:val="24"/>
          <w:lang w:eastAsia="en-GB"/>
        </w:rPr>
        <w:t>the</w:t>
      </w:r>
      <w:proofErr w:type="gramEnd"/>
      <w:r>
        <w:rPr>
          <w:rFonts w:ascii="Times New Roman" w:hAnsi="Times New Roman"/>
          <w:sz w:val="24"/>
          <w:szCs w:val="24"/>
          <w:lang w:eastAsia="en-GB"/>
        </w:rPr>
        <w:t xml:space="preserve"> configuration of delegates and their sub-delegates, their geographical sphere of operation and their corporate structure including whether the delegation is conferred on an entity belonging to the same corporate group </w:t>
      </w:r>
      <w:r w:rsidR="00230F78">
        <w:rPr>
          <w:rFonts w:ascii="Times New Roman" w:hAnsi="Times New Roman"/>
          <w:sz w:val="24"/>
          <w:szCs w:val="24"/>
          <w:lang w:eastAsia="en-GB"/>
        </w:rPr>
        <w:t>as</w:t>
      </w:r>
      <w:r>
        <w:rPr>
          <w:rFonts w:ascii="Times New Roman" w:hAnsi="Times New Roman"/>
          <w:sz w:val="24"/>
          <w:szCs w:val="24"/>
          <w:lang w:eastAsia="en-GB"/>
        </w:rPr>
        <w:t xml:space="preserve"> the Licence Holder</w:t>
      </w:r>
      <w:r w:rsidR="00711D99">
        <w:rPr>
          <w:rFonts w:ascii="Times New Roman" w:hAnsi="Times New Roman"/>
          <w:sz w:val="24"/>
          <w:szCs w:val="24"/>
          <w:lang w:eastAsia="en-GB"/>
        </w:rPr>
        <w:t>.</w:t>
      </w:r>
    </w:p>
    <w:p w:rsidR="00576205" w:rsidRDefault="00576205"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372DD5" w:rsidRDefault="00372DD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4A13E4" w:rsidRDefault="004A13E4" w:rsidP="000339F8">
      <w:pPr>
        <w:spacing w:after="0" w:line="240" w:lineRule="auto"/>
        <w:ind w:left="709"/>
        <w:jc w:val="both"/>
        <w:rPr>
          <w:rFonts w:ascii="Times New Roman" w:eastAsiaTheme="majorEastAsia" w:hAnsi="Times New Roman" w:cs="Times New Roman"/>
          <w:bCs/>
          <w:sz w:val="24"/>
          <w:szCs w:val="24"/>
        </w:rPr>
      </w:pPr>
    </w:p>
    <w:p w:rsidR="000B7B2A" w:rsidRDefault="000B7B2A">
      <w:pPr>
        <w:rPr>
          <w:rFonts w:ascii="Times New Roman" w:hAnsi="Times New Roman" w:cs="Times New Roman"/>
          <w:b/>
          <w:bCs/>
          <w:sz w:val="26"/>
          <w:szCs w:val="26"/>
        </w:rPr>
      </w:pPr>
      <w:r>
        <w:rPr>
          <w:rFonts w:ascii="Times New Roman" w:hAnsi="Times New Roman" w:cs="Times New Roman"/>
          <w:b/>
          <w:bCs/>
          <w:sz w:val="26"/>
          <w:szCs w:val="26"/>
        </w:rPr>
        <w:br w:type="page"/>
      </w:r>
    </w:p>
    <w:p w:rsidR="001A3B37" w:rsidRDefault="001A3B37" w:rsidP="001A3B37">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11:</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Depositary </w:t>
      </w:r>
    </w:p>
    <w:p w:rsidR="001A3B37" w:rsidRDefault="001A3B37" w:rsidP="0024465F">
      <w:pPr>
        <w:spacing w:after="0" w:line="240" w:lineRule="auto"/>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This section deals with the appointment of a depositary for </w:t>
      </w:r>
      <w:r w:rsidR="004062F8" w:rsidRPr="00FE6778">
        <w:rPr>
          <w:rFonts w:ascii="Times New Roman" w:hAnsi="Times New Roman" w:cs="Times New Roman"/>
          <w:i/>
          <w:color w:val="808080" w:themeColor="background1" w:themeShade="80"/>
        </w:rPr>
        <w:t xml:space="preserve">the </w:t>
      </w:r>
      <w:r w:rsidRPr="00FE6778">
        <w:rPr>
          <w:rFonts w:ascii="Times New Roman" w:hAnsi="Times New Roman" w:cs="Times New Roman"/>
          <w:i/>
          <w:color w:val="808080" w:themeColor="background1" w:themeShade="80"/>
        </w:rPr>
        <w:t xml:space="preserve">AIF in accordance with </w:t>
      </w:r>
      <w:r w:rsidR="00372DD5" w:rsidRPr="00FE6778">
        <w:rPr>
          <w:rFonts w:ascii="Times New Roman" w:hAnsi="Times New Roman" w:cs="Times New Roman"/>
          <w:i/>
          <w:color w:val="808080" w:themeColor="background1" w:themeShade="80"/>
        </w:rPr>
        <w:t>A</w:t>
      </w:r>
      <w:r w:rsidRPr="00FE6778">
        <w:rPr>
          <w:rFonts w:ascii="Times New Roman" w:hAnsi="Times New Roman" w:cs="Times New Roman"/>
          <w:i/>
          <w:color w:val="808080" w:themeColor="background1" w:themeShade="80"/>
        </w:rPr>
        <w:t xml:space="preserve">rticle 21 of the Directive and Chapter IV Section I of the </w:t>
      </w:r>
      <w:r w:rsidR="00372DD5" w:rsidRPr="00FE6778">
        <w:rPr>
          <w:rFonts w:ascii="Times New Roman" w:hAnsi="Times New Roman" w:cs="Times New Roman"/>
          <w:i/>
          <w:color w:val="808080" w:themeColor="background1" w:themeShade="80"/>
        </w:rPr>
        <w:t xml:space="preserve">Commission Delegated </w:t>
      </w:r>
      <w:r w:rsidRPr="00FE6778">
        <w:rPr>
          <w:rFonts w:ascii="Times New Roman" w:hAnsi="Times New Roman" w:cs="Times New Roman"/>
          <w:i/>
          <w:color w:val="808080" w:themeColor="background1" w:themeShade="80"/>
        </w:rPr>
        <w:t>Regulation</w:t>
      </w:r>
      <w:r w:rsidR="0024465F">
        <w:rPr>
          <w:rFonts w:ascii="Times New Roman" w:hAnsi="Times New Roman" w:cs="Times New Roman"/>
          <w:i/>
          <w:color w:val="808080" w:themeColor="background1" w:themeShade="80"/>
        </w:rPr>
        <w:t>.</w:t>
      </w:r>
    </w:p>
    <w:p w:rsidR="0024465F" w:rsidRPr="00FE6778" w:rsidRDefault="0024465F" w:rsidP="0024465F">
      <w:pPr>
        <w:spacing w:after="0" w:line="240" w:lineRule="auto"/>
        <w:ind w:left="709"/>
        <w:jc w:val="both"/>
        <w:rPr>
          <w:rFonts w:ascii="Times New Roman" w:eastAsiaTheme="majorEastAsia" w:hAnsi="Times New Roman" w:cs="Times New Roman"/>
          <w:bCs/>
        </w:rPr>
      </w:pPr>
    </w:p>
    <w:p w:rsidR="005A66C3" w:rsidRDefault="004178B3" w:rsidP="00372DD5">
      <w:pPr>
        <w:spacing w:after="0" w:line="240" w:lineRule="auto"/>
        <w:ind w:left="720"/>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 xml:space="preserve">This section should be completed by </w:t>
      </w:r>
      <w:r w:rsidR="00372DD5" w:rsidRPr="00FE6778">
        <w:rPr>
          <w:rFonts w:ascii="Times New Roman" w:eastAsiaTheme="majorEastAsia" w:hAnsi="Times New Roman" w:cs="Times New Roman"/>
          <w:bCs/>
          <w:i/>
          <w:color w:val="808080" w:themeColor="background1" w:themeShade="80"/>
        </w:rPr>
        <w:t>internally managed AIFs and Fund Managers (</w:t>
      </w:r>
      <w:r w:rsidR="00B66175" w:rsidRPr="00FE6778">
        <w:rPr>
          <w:rFonts w:ascii="Times New Roman" w:eastAsiaTheme="majorEastAsia" w:hAnsi="Times New Roman" w:cs="Times New Roman"/>
          <w:bCs/>
          <w:i/>
          <w:color w:val="808080" w:themeColor="background1" w:themeShade="80"/>
        </w:rPr>
        <w:t>in</w:t>
      </w:r>
      <w:r w:rsidR="00372DD5" w:rsidRPr="00FE6778">
        <w:rPr>
          <w:rFonts w:ascii="Times New Roman" w:eastAsiaTheme="majorEastAsia" w:hAnsi="Times New Roman" w:cs="Times New Roman"/>
          <w:bCs/>
          <w:i/>
          <w:color w:val="808080" w:themeColor="background1" w:themeShade="80"/>
        </w:rPr>
        <w:t>cluding UCITS Management companies</w:t>
      </w:r>
      <w:r w:rsidR="00EC1F3D">
        <w:rPr>
          <w:rFonts w:ascii="Times New Roman" w:eastAsiaTheme="majorEastAsia" w:hAnsi="Times New Roman" w:cs="Times New Roman"/>
          <w:bCs/>
          <w:i/>
          <w:color w:val="808080" w:themeColor="background1" w:themeShade="80"/>
        </w:rPr>
        <w:t xml:space="preserve"> which also manage AIFs</w:t>
      </w:r>
      <w:r w:rsidR="00372DD5" w:rsidRPr="00FE6778">
        <w:rPr>
          <w:rFonts w:ascii="Times New Roman" w:eastAsiaTheme="majorEastAsia" w:hAnsi="Times New Roman" w:cs="Times New Roman"/>
          <w:bCs/>
          <w:i/>
          <w:color w:val="808080" w:themeColor="background1" w:themeShade="80"/>
        </w:rPr>
        <w:t>)</w:t>
      </w:r>
      <w:r w:rsidR="005A66C3">
        <w:rPr>
          <w:rFonts w:ascii="Times New Roman" w:eastAsiaTheme="majorEastAsia" w:hAnsi="Times New Roman" w:cs="Times New Roman"/>
          <w:bCs/>
          <w:i/>
          <w:color w:val="808080" w:themeColor="background1" w:themeShade="80"/>
        </w:rPr>
        <w:t>.  If no depositary is required to be appointed</w:t>
      </w:r>
      <w:r w:rsidR="00EC1F3D">
        <w:rPr>
          <w:rFonts w:ascii="Times New Roman" w:eastAsiaTheme="majorEastAsia" w:hAnsi="Times New Roman" w:cs="Times New Roman"/>
          <w:bCs/>
          <w:i/>
          <w:color w:val="808080" w:themeColor="background1" w:themeShade="80"/>
        </w:rPr>
        <w:t xml:space="preserve"> </w:t>
      </w:r>
      <w:r w:rsidR="00C9358A">
        <w:rPr>
          <w:rFonts w:ascii="Times New Roman" w:eastAsiaTheme="majorEastAsia" w:hAnsi="Times New Roman" w:cs="Times New Roman"/>
          <w:bCs/>
          <w:i/>
          <w:color w:val="808080" w:themeColor="background1" w:themeShade="80"/>
        </w:rPr>
        <w:t xml:space="preserve">as at the transposition date of the Directive </w:t>
      </w:r>
      <w:r w:rsidR="00EC1F3D">
        <w:rPr>
          <w:rFonts w:ascii="Times New Roman" w:eastAsiaTheme="majorEastAsia" w:hAnsi="Times New Roman" w:cs="Times New Roman"/>
          <w:bCs/>
          <w:i/>
          <w:color w:val="808080" w:themeColor="background1" w:themeShade="80"/>
        </w:rPr>
        <w:t>(or otherwise is to be appointed at a later date, in line with the third country provisions applicable under the Directive)</w:t>
      </w:r>
      <w:r w:rsidR="005A66C3">
        <w:rPr>
          <w:rFonts w:ascii="Times New Roman" w:eastAsiaTheme="majorEastAsia" w:hAnsi="Times New Roman" w:cs="Times New Roman"/>
          <w:bCs/>
          <w:i/>
          <w:color w:val="808080" w:themeColor="background1" w:themeShade="80"/>
        </w:rPr>
        <w:t xml:space="preserve"> </w:t>
      </w:r>
      <w:r w:rsidR="00C9358A">
        <w:rPr>
          <w:rFonts w:ascii="Times New Roman" w:eastAsiaTheme="majorEastAsia" w:hAnsi="Times New Roman" w:cs="Times New Roman"/>
          <w:bCs/>
          <w:i/>
          <w:color w:val="808080" w:themeColor="background1" w:themeShade="80"/>
        </w:rPr>
        <w:t>in view that</w:t>
      </w:r>
      <w:r w:rsidR="00EC1F3D">
        <w:rPr>
          <w:rFonts w:ascii="Times New Roman" w:eastAsiaTheme="majorEastAsia" w:hAnsi="Times New Roman" w:cs="Times New Roman"/>
          <w:bCs/>
          <w:i/>
          <w:color w:val="808080" w:themeColor="background1" w:themeShade="80"/>
        </w:rPr>
        <w:t xml:space="preserve"> </w:t>
      </w:r>
      <w:r w:rsidR="005A66C3">
        <w:rPr>
          <w:rFonts w:ascii="Times New Roman" w:eastAsiaTheme="majorEastAsia" w:hAnsi="Times New Roman" w:cs="Times New Roman"/>
          <w:bCs/>
          <w:i/>
          <w:color w:val="808080" w:themeColor="background1" w:themeShade="80"/>
        </w:rPr>
        <w:t xml:space="preserve">the AIF is non-EU and depending </w:t>
      </w:r>
      <w:r w:rsidR="00C9358A">
        <w:rPr>
          <w:rFonts w:ascii="Times New Roman" w:eastAsiaTheme="majorEastAsia" w:hAnsi="Times New Roman" w:cs="Times New Roman"/>
          <w:bCs/>
          <w:i/>
          <w:color w:val="808080" w:themeColor="background1" w:themeShade="80"/>
        </w:rPr>
        <w:t xml:space="preserve">on </w:t>
      </w:r>
      <w:r w:rsidR="005A66C3">
        <w:rPr>
          <w:rFonts w:ascii="Times New Roman" w:eastAsiaTheme="majorEastAsia" w:hAnsi="Times New Roman" w:cs="Times New Roman"/>
          <w:bCs/>
          <w:i/>
          <w:color w:val="808080" w:themeColor="background1" w:themeShade="80"/>
        </w:rPr>
        <w:t>whe</w:t>
      </w:r>
      <w:r w:rsidR="00EC1F3D">
        <w:rPr>
          <w:rFonts w:ascii="Times New Roman" w:eastAsiaTheme="majorEastAsia" w:hAnsi="Times New Roman" w:cs="Times New Roman"/>
          <w:bCs/>
          <w:i/>
          <w:color w:val="808080" w:themeColor="background1" w:themeShade="80"/>
        </w:rPr>
        <w:t>ther it is marketed EU/ non-EU</w:t>
      </w:r>
      <w:r w:rsidR="005A66C3">
        <w:rPr>
          <w:rFonts w:ascii="Times New Roman" w:eastAsiaTheme="majorEastAsia" w:hAnsi="Times New Roman" w:cs="Times New Roman"/>
          <w:bCs/>
          <w:i/>
          <w:color w:val="808080" w:themeColor="background1" w:themeShade="80"/>
        </w:rPr>
        <w:t xml:space="preserve">, the table </w:t>
      </w:r>
      <w:r w:rsidR="00EC1F3D">
        <w:rPr>
          <w:rFonts w:ascii="Times New Roman" w:eastAsiaTheme="majorEastAsia" w:hAnsi="Times New Roman" w:cs="Times New Roman"/>
          <w:bCs/>
          <w:i/>
          <w:color w:val="808080" w:themeColor="background1" w:themeShade="80"/>
        </w:rPr>
        <w:t xml:space="preserve">still </w:t>
      </w:r>
      <w:r w:rsidR="005A66C3">
        <w:rPr>
          <w:rFonts w:ascii="Times New Roman" w:eastAsiaTheme="majorEastAsia" w:hAnsi="Times New Roman" w:cs="Times New Roman"/>
          <w:bCs/>
          <w:i/>
          <w:color w:val="808080" w:themeColor="background1" w:themeShade="80"/>
        </w:rPr>
        <w:t xml:space="preserve">needs to be completed </w:t>
      </w:r>
      <w:r w:rsidR="00C9358A">
        <w:rPr>
          <w:rFonts w:ascii="Times New Roman" w:eastAsiaTheme="majorEastAsia" w:hAnsi="Times New Roman" w:cs="Times New Roman"/>
          <w:bCs/>
          <w:i/>
          <w:color w:val="808080" w:themeColor="background1" w:themeShade="80"/>
        </w:rPr>
        <w:t xml:space="preserve">and </w:t>
      </w:r>
      <w:r w:rsidR="005A66C3">
        <w:rPr>
          <w:rFonts w:ascii="Times New Roman" w:eastAsiaTheme="majorEastAsia" w:hAnsi="Times New Roman" w:cs="Times New Roman"/>
          <w:bCs/>
          <w:i/>
          <w:color w:val="808080" w:themeColor="background1" w:themeShade="80"/>
        </w:rPr>
        <w:t xml:space="preserve">columns </w:t>
      </w:r>
      <w:r w:rsidR="00EC1F3D">
        <w:rPr>
          <w:rFonts w:ascii="Times New Roman" w:eastAsiaTheme="majorEastAsia" w:hAnsi="Times New Roman" w:cs="Times New Roman"/>
          <w:bCs/>
          <w:i/>
          <w:color w:val="808080" w:themeColor="background1" w:themeShade="80"/>
        </w:rPr>
        <w:t>3 – 6 marked as not applicable.</w:t>
      </w:r>
      <w:r w:rsidR="005A66C3">
        <w:rPr>
          <w:rFonts w:ascii="Times New Roman" w:eastAsiaTheme="majorEastAsia" w:hAnsi="Times New Roman" w:cs="Times New Roman"/>
          <w:bCs/>
          <w:i/>
          <w:color w:val="808080" w:themeColor="background1" w:themeShade="80"/>
        </w:rPr>
        <w:t xml:space="preserve">  </w:t>
      </w:r>
    </w:p>
    <w:p w:rsidR="005A66C3" w:rsidRDefault="005A66C3" w:rsidP="00372DD5">
      <w:pPr>
        <w:spacing w:after="0" w:line="240" w:lineRule="auto"/>
        <w:ind w:left="720"/>
        <w:jc w:val="both"/>
        <w:rPr>
          <w:rFonts w:ascii="Times New Roman" w:eastAsiaTheme="majorEastAsia" w:hAnsi="Times New Roman" w:cs="Times New Roman"/>
          <w:bCs/>
          <w:i/>
          <w:color w:val="808080" w:themeColor="background1" w:themeShade="80"/>
        </w:rPr>
      </w:pPr>
    </w:p>
    <w:p w:rsidR="006E5232" w:rsidRPr="00FE6778" w:rsidRDefault="006E5232" w:rsidP="006E5232">
      <w:pPr>
        <w:pStyle w:val="ListParagraph"/>
        <w:spacing w:after="0" w:line="240" w:lineRule="auto"/>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Further to the question included in this section, AIFMs should also provide a declaration outlining that the contents of </w:t>
      </w:r>
      <w:r w:rsidR="004062F8" w:rsidRPr="00FE6778">
        <w:rPr>
          <w:rFonts w:ascii="Times New Roman" w:hAnsi="Times New Roman" w:cs="Times New Roman"/>
          <w:i/>
          <w:color w:val="808080" w:themeColor="background1" w:themeShade="80"/>
        </w:rPr>
        <w:t xml:space="preserve">any </w:t>
      </w:r>
      <w:r w:rsidRPr="00FE6778">
        <w:rPr>
          <w:rFonts w:ascii="Times New Roman" w:hAnsi="Times New Roman" w:cs="Times New Roman"/>
          <w:i/>
          <w:color w:val="808080" w:themeColor="background1" w:themeShade="80"/>
        </w:rPr>
        <w:t>depositary agreement reflects the requirements of Article 21 of the Directive</w:t>
      </w:r>
      <w:r w:rsidR="001844D2" w:rsidRPr="00FE6778">
        <w:rPr>
          <w:rFonts w:ascii="Times New Roman" w:hAnsi="Times New Roman" w:cs="Times New Roman"/>
          <w:i/>
          <w:color w:val="808080" w:themeColor="background1" w:themeShade="80"/>
        </w:rPr>
        <w:t xml:space="preserve"> </w:t>
      </w:r>
      <w:r w:rsidR="00FE6778" w:rsidRPr="00FE6778">
        <w:rPr>
          <w:rFonts w:ascii="Times New Roman" w:hAnsi="Times New Roman" w:cs="Times New Roman"/>
          <w:i/>
          <w:color w:val="808080" w:themeColor="background1" w:themeShade="80"/>
        </w:rPr>
        <w:t xml:space="preserve">and Chapter IV of the Commission Delegated Regulation </w:t>
      </w:r>
      <w:r w:rsidR="001844D2" w:rsidRPr="00FE6778">
        <w:rPr>
          <w:rFonts w:ascii="Times New Roman" w:hAnsi="Times New Roman" w:cs="Times New Roman"/>
          <w:i/>
          <w:color w:val="808080" w:themeColor="background1" w:themeShade="80"/>
        </w:rPr>
        <w:t xml:space="preserve">(Licence Holders are strongly urged to consult a Legal Advisor to ensure that the agreements in place and the liability provisions contained therein are in line with the </w:t>
      </w:r>
      <w:r w:rsidR="00FE6778" w:rsidRPr="00FE6778">
        <w:rPr>
          <w:rFonts w:ascii="Times New Roman" w:hAnsi="Times New Roman" w:cs="Times New Roman"/>
          <w:i/>
          <w:color w:val="808080" w:themeColor="background1" w:themeShade="80"/>
        </w:rPr>
        <w:t xml:space="preserve">above-mentioned provisions </w:t>
      </w:r>
      <w:r w:rsidR="001844D2" w:rsidRPr="00FE6778">
        <w:rPr>
          <w:rFonts w:ascii="Times New Roman" w:hAnsi="Times New Roman" w:cs="Times New Roman"/>
          <w:i/>
          <w:color w:val="808080" w:themeColor="background1" w:themeShade="80"/>
        </w:rPr>
        <w:t xml:space="preserve">of </w:t>
      </w:r>
      <w:r w:rsidR="00FE6778" w:rsidRPr="00FE6778">
        <w:rPr>
          <w:rFonts w:ascii="Times New Roman" w:hAnsi="Times New Roman" w:cs="Times New Roman"/>
          <w:i/>
          <w:color w:val="808080" w:themeColor="background1" w:themeShade="80"/>
        </w:rPr>
        <w:t>the Directive and the Commission Delegated Regulation</w:t>
      </w:r>
      <w:r w:rsidR="001844D2" w:rsidRPr="00FE6778">
        <w:rPr>
          <w:rFonts w:ascii="Times New Roman" w:hAnsi="Times New Roman" w:cs="Times New Roman"/>
          <w:i/>
          <w:color w:val="808080" w:themeColor="background1" w:themeShade="80"/>
        </w:rPr>
        <w:t>)</w:t>
      </w:r>
      <w:r w:rsidR="0024465F">
        <w:rPr>
          <w:rFonts w:ascii="Times New Roman" w:hAnsi="Times New Roman" w:cs="Times New Roman"/>
          <w:i/>
          <w:color w:val="808080" w:themeColor="background1" w:themeShade="80"/>
        </w:rPr>
        <w:t>.</w:t>
      </w:r>
      <w:r w:rsidR="001844D2" w:rsidRPr="00FE6778">
        <w:rPr>
          <w:rFonts w:ascii="Times New Roman" w:hAnsi="Times New Roman" w:cs="Times New Roman"/>
          <w:i/>
          <w:color w:val="808080" w:themeColor="background1" w:themeShade="80"/>
        </w:rPr>
        <w:t xml:space="preserve"> </w:t>
      </w:r>
      <w:r w:rsidRPr="00FE6778">
        <w:rPr>
          <w:rFonts w:ascii="Times New Roman" w:hAnsi="Times New Roman" w:cs="Times New Roman"/>
          <w:i/>
          <w:color w:val="808080" w:themeColor="background1" w:themeShade="80"/>
        </w:rPr>
        <w:t xml:space="preserve"> </w:t>
      </w:r>
    </w:p>
    <w:p w:rsidR="006E5232" w:rsidRPr="006E5232" w:rsidRDefault="006E5232" w:rsidP="006E5232">
      <w:pPr>
        <w:pStyle w:val="ListParagraph"/>
        <w:spacing w:after="0" w:line="240" w:lineRule="auto"/>
        <w:ind w:left="709"/>
        <w:jc w:val="both"/>
        <w:rPr>
          <w:rFonts w:ascii="Times New Roman" w:eastAsiaTheme="majorEastAsia" w:hAnsi="Times New Roman" w:cs="Times New Roman"/>
          <w:bCs/>
          <w:i/>
          <w:color w:val="808080" w:themeColor="background1" w:themeShade="80"/>
          <w:sz w:val="24"/>
          <w:szCs w:val="24"/>
        </w:rPr>
      </w:pPr>
    </w:p>
    <w:p w:rsidR="004062F8" w:rsidRPr="00B3631C" w:rsidRDefault="004062F8" w:rsidP="00B3631C">
      <w:pPr>
        <w:pStyle w:val="ListParagraph"/>
        <w:numPr>
          <w:ilvl w:val="1"/>
          <w:numId w:val="47"/>
        </w:numPr>
        <w:spacing w:after="0" w:line="240" w:lineRule="auto"/>
        <w:ind w:left="709" w:hanging="709"/>
        <w:jc w:val="both"/>
        <w:rPr>
          <w:rFonts w:ascii="Times New Roman" w:eastAsiaTheme="majorEastAsia" w:hAnsi="Times New Roman" w:cs="Times New Roman"/>
          <w:bCs/>
          <w:sz w:val="24"/>
          <w:szCs w:val="24"/>
        </w:rPr>
      </w:pPr>
      <w:r>
        <w:rPr>
          <w:rFonts w:ascii="Times New Roman" w:hAnsi="Times New Roman" w:cs="Times New Roman"/>
          <w:sz w:val="24"/>
          <w:szCs w:val="24"/>
        </w:rPr>
        <w:t>Please complete the table below:</w:t>
      </w:r>
      <w:r w:rsidR="005C549C">
        <w:rPr>
          <w:rFonts w:ascii="Times New Roman" w:hAnsi="Times New Roman" w:cs="Times New Roman"/>
          <w:sz w:val="24"/>
          <w:szCs w:val="24"/>
        </w:rPr>
        <w:t xml:space="preserve"> </w:t>
      </w:r>
    </w:p>
    <w:p w:rsidR="001A3B37" w:rsidRDefault="001A3B37" w:rsidP="00B3631C">
      <w:pPr>
        <w:pStyle w:val="ListParagraph"/>
        <w:spacing w:after="0" w:line="240" w:lineRule="auto"/>
        <w:ind w:left="709"/>
        <w:jc w:val="both"/>
        <w:rPr>
          <w:rFonts w:ascii="Times New Roman" w:eastAsiaTheme="majorEastAsia" w:hAnsi="Times New Roman" w:cs="Times New Roman"/>
          <w:bCs/>
          <w:sz w:val="24"/>
          <w:szCs w:val="24"/>
        </w:rPr>
      </w:pPr>
    </w:p>
    <w:tbl>
      <w:tblPr>
        <w:tblStyle w:val="TableGrid"/>
        <w:tblW w:w="9489" w:type="dxa"/>
        <w:jc w:val="right"/>
        <w:tblInd w:w="721" w:type="dxa"/>
        <w:shd w:val="clear" w:color="auto" w:fill="FFFF00"/>
        <w:tblLayout w:type="fixed"/>
        <w:tblLook w:val="04A0" w:firstRow="1" w:lastRow="0" w:firstColumn="1" w:lastColumn="0" w:noHBand="0" w:noVBand="1"/>
      </w:tblPr>
      <w:tblGrid>
        <w:gridCol w:w="1985"/>
        <w:gridCol w:w="1134"/>
        <w:gridCol w:w="2126"/>
        <w:gridCol w:w="1701"/>
        <w:gridCol w:w="1267"/>
        <w:gridCol w:w="1276"/>
      </w:tblGrid>
      <w:tr w:rsidR="004062F8" w:rsidTr="00B3631C">
        <w:trPr>
          <w:jc w:val="right"/>
        </w:trPr>
        <w:tc>
          <w:tcPr>
            <w:tcW w:w="1985" w:type="dxa"/>
            <w:shd w:val="clear" w:color="auto" w:fill="FFFF00"/>
          </w:tcPr>
          <w:p w:rsidR="004062F8" w:rsidRPr="00EF06F2" w:rsidRDefault="004062F8" w:rsidP="00087790">
            <w:pPr>
              <w:jc w:val="center"/>
              <w:rPr>
                <w:rFonts w:ascii="Times New Roman" w:hAnsi="Times New Roman" w:cs="Times New Roman"/>
                <w:b/>
                <w:sz w:val="20"/>
                <w:szCs w:val="20"/>
              </w:rPr>
            </w:pPr>
            <w:r w:rsidRPr="00EF06F2">
              <w:rPr>
                <w:rFonts w:ascii="Times New Roman" w:eastAsia="Times New Roman" w:hAnsi="Times New Roman" w:cs="Times New Roman"/>
                <w:b/>
                <w:sz w:val="20"/>
                <w:szCs w:val="20"/>
                <w:lang w:eastAsia="en-GB"/>
              </w:rPr>
              <w:t>AIF Name</w:t>
            </w:r>
          </w:p>
        </w:tc>
        <w:tc>
          <w:tcPr>
            <w:tcW w:w="1134" w:type="dxa"/>
            <w:shd w:val="clear" w:color="auto" w:fill="FFFF00"/>
          </w:tcPr>
          <w:p w:rsidR="004062F8" w:rsidRPr="00EF06F2" w:rsidRDefault="004062F8" w:rsidP="00087790">
            <w:pPr>
              <w:jc w:val="center"/>
              <w:rPr>
                <w:rFonts w:ascii="Times New Roman" w:eastAsia="Times New Roman" w:hAnsi="Times New Roman" w:cs="Times New Roman"/>
                <w:b/>
                <w:sz w:val="20"/>
                <w:szCs w:val="20"/>
                <w:lang w:eastAsia="en-GB"/>
              </w:rPr>
            </w:pPr>
            <w:r w:rsidRPr="00EF06F2">
              <w:rPr>
                <w:rFonts w:ascii="Times New Roman" w:eastAsia="Times New Roman" w:hAnsi="Times New Roman" w:cs="Times New Roman"/>
                <w:b/>
                <w:sz w:val="20"/>
                <w:szCs w:val="20"/>
                <w:lang w:eastAsia="en-GB"/>
              </w:rPr>
              <w:t xml:space="preserve">EU/ </w:t>
            </w:r>
            <w:r w:rsidRPr="00EF06F2">
              <w:rPr>
                <w:rFonts w:ascii="Times New Roman" w:eastAsia="Times New Roman" w:hAnsi="Times New Roman" w:cs="Times New Roman"/>
                <w:b/>
                <w:sz w:val="20"/>
                <w:szCs w:val="20"/>
                <w:lang w:eastAsia="en-GB"/>
              </w:rPr>
              <w:br/>
              <w:t>Non EU AIF</w:t>
            </w:r>
            <w:r w:rsidRPr="00EF06F2">
              <w:rPr>
                <w:rStyle w:val="FootnoteReference"/>
                <w:rFonts w:ascii="Times New Roman" w:eastAsia="Times New Roman" w:hAnsi="Times New Roman" w:cs="Times New Roman"/>
                <w:b/>
                <w:sz w:val="20"/>
                <w:szCs w:val="20"/>
                <w:lang w:eastAsia="en-GB"/>
              </w:rPr>
              <w:footnoteReference w:id="6"/>
            </w:r>
          </w:p>
        </w:tc>
        <w:tc>
          <w:tcPr>
            <w:tcW w:w="2126" w:type="dxa"/>
            <w:shd w:val="clear" w:color="auto" w:fill="FFFF00"/>
          </w:tcPr>
          <w:p w:rsidR="004062F8" w:rsidRPr="00EF06F2" w:rsidRDefault="004062F8" w:rsidP="00EF06F2">
            <w:pPr>
              <w:jc w:val="center"/>
              <w:rPr>
                <w:rFonts w:ascii="Times New Roman" w:eastAsia="Times New Roman" w:hAnsi="Times New Roman" w:cs="Times New Roman"/>
                <w:b/>
                <w:sz w:val="20"/>
                <w:szCs w:val="20"/>
                <w:lang w:eastAsia="en-GB"/>
              </w:rPr>
            </w:pPr>
            <w:r w:rsidRPr="00EF06F2">
              <w:rPr>
                <w:rFonts w:ascii="Times New Roman" w:eastAsia="Times New Roman" w:hAnsi="Times New Roman" w:cs="Times New Roman"/>
                <w:b/>
                <w:sz w:val="20"/>
                <w:szCs w:val="20"/>
                <w:lang w:eastAsia="en-GB"/>
              </w:rPr>
              <w:t>Is the AIF marketed on</w:t>
            </w:r>
            <w:r>
              <w:rPr>
                <w:rFonts w:ascii="Times New Roman" w:eastAsia="Times New Roman" w:hAnsi="Times New Roman" w:cs="Times New Roman"/>
                <w:b/>
                <w:sz w:val="20"/>
                <w:szCs w:val="20"/>
                <w:lang w:eastAsia="en-GB"/>
              </w:rPr>
              <w:t xml:space="preserve"> the basis of</w:t>
            </w:r>
            <w:r w:rsidR="00177D20">
              <w:rPr>
                <w:rFonts w:ascii="Times New Roman" w:eastAsia="Times New Roman" w:hAnsi="Times New Roman" w:cs="Times New Roman"/>
                <w:b/>
                <w:sz w:val="20"/>
                <w:szCs w:val="20"/>
                <w:lang w:eastAsia="en-GB"/>
              </w:rPr>
              <w:t xml:space="preserve"> the</w:t>
            </w:r>
            <w:r w:rsidRPr="00EF06F2">
              <w:rPr>
                <w:rFonts w:ascii="Times New Roman" w:eastAsia="Times New Roman" w:hAnsi="Times New Roman" w:cs="Times New Roman"/>
                <w:b/>
                <w:sz w:val="20"/>
                <w:szCs w:val="20"/>
                <w:lang w:eastAsia="en-GB"/>
              </w:rPr>
              <w:t xml:space="preserve"> private placement </w:t>
            </w:r>
            <w:r>
              <w:rPr>
                <w:rFonts w:ascii="Times New Roman" w:eastAsia="Times New Roman" w:hAnsi="Times New Roman" w:cs="Times New Roman"/>
                <w:b/>
                <w:sz w:val="20"/>
                <w:szCs w:val="20"/>
                <w:lang w:eastAsia="en-GB"/>
              </w:rPr>
              <w:t>exemption</w:t>
            </w:r>
            <w:r w:rsidRPr="00EF06F2">
              <w:rPr>
                <w:rFonts w:ascii="Times New Roman" w:eastAsia="Times New Roman" w:hAnsi="Times New Roman" w:cs="Times New Roman"/>
                <w:b/>
                <w:sz w:val="20"/>
                <w:szCs w:val="20"/>
                <w:lang w:eastAsia="en-GB"/>
              </w:rPr>
              <w:t xml:space="preserve"> or on the basis of the pan-European passport</w:t>
            </w:r>
            <w:r>
              <w:rPr>
                <w:rFonts w:ascii="Times New Roman" w:eastAsia="Times New Roman" w:hAnsi="Times New Roman" w:cs="Times New Roman"/>
                <w:b/>
                <w:sz w:val="20"/>
                <w:szCs w:val="20"/>
                <w:lang w:eastAsia="en-GB"/>
              </w:rPr>
              <w:t>?</w:t>
            </w:r>
            <w:r w:rsidRPr="00EF06F2">
              <w:rPr>
                <w:rFonts w:ascii="Times New Roman" w:eastAsia="Times New Roman" w:hAnsi="Times New Roman" w:cs="Times New Roman"/>
                <w:b/>
                <w:sz w:val="20"/>
                <w:szCs w:val="20"/>
                <w:lang w:eastAsia="en-GB"/>
              </w:rPr>
              <w:t xml:space="preserve"> </w:t>
            </w:r>
          </w:p>
        </w:tc>
        <w:tc>
          <w:tcPr>
            <w:tcW w:w="1701" w:type="dxa"/>
            <w:tcBorders>
              <w:right w:val="single" w:sz="4" w:space="0" w:color="auto"/>
            </w:tcBorders>
            <w:shd w:val="clear" w:color="auto" w:fill="FFFF00"/>
          </w:tcPr>
          <w:p w:rsidR="004062F8" w:rsidRPr="00EF06F2" w:rsidRDefault="004062F8" w:rsidP="00087790">
            <w:pPr>
              <w:jc w:val="center"/>
              <w:rPr>
                <w:rFonts w:ascii="Times New Roman" w:hAnsi="Times New Roman" w:cs="Times New Roman"/>
                <w:b/>
                <w:sz w:val="20"/>
                <w:szCs w:val="20"/>
              </w:rPr>
            </w:pPr>
            <w:r w:rsidRPr="00EF06F2">
              <w:rPr>
                <w:rFonts w:ascii="Times New Roman" w:eastAsia="Times New Roman" w:hAnsi="Times New Roman" w:cs="Times New Roman"/>
                <w:b/>
                <w:sz w:val="20"/>
                <w:szCs w:val="20"/>
                <w:lang w:eastAsia="en-GB"/>
              </w:rPr>
              <w:t>Name of Depositary</w:t>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Pr="00EF06F2" w:rsidRDefault="004062F8" w:rsidP="00087790">
            <w:pPr>
              <w:jc w:val="center"/>
              <w:rPr>
                <w:rFonts w:ascii="Times New Roman" w:hAnsi="Times New Roman" w:cs="Times New Roman"/>
                <w:b/>
                <w:sz w:val="20"/>
                <w:szCs w:val="20"/>
              </w:rPr>
            </w:pPr>
            <w:r w:rsidRPr="00EF06F2">
              <w:rPr>
                <w:rFonts w:ascii="Times New Roman" w:hAnsi="Times New Roman" w:cs="Times New Roman"/>
                <w:b/>
                <w:sz w:val="20"/>
                <w:szCs w:val="20"/>
              </w:rPr>
              <w:t>Domicile of Depositary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Pr="00EF06F2" w:rsidRDefault="004062F8" w:rsidP="00087790">
            <w:pPr>
              <w:jc w:val="center"/>
              <w:rPr>
                <w:rFonts w:ascii="Times New Roman" w:hAnsi="Times New Roman" w:cs="Times New Roman"/>
                <w:b/>
                <w:sz w:val="20"/>
                <w:szCs w:val="20"/>
              </w:rPr>
            </w:pPr>
            <w:r>
              <w:rPr>
                <w:rFonts w:ascii="Times New Roman" w:hAnsi="Times New Roman" w:cs="Times New Roman"/>
                <w:b/>
                <w:sz w:val="20"/>
                <w:szCs w:val="20"/>
              </w:rPr>
              <w:t>Nature of licence</w:t>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1517456625"/>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jc w:val="both"/>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1746299848"/>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708534585"/>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220788324"/>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812559886"/>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9756946"/>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062F8" w:rsidTr="00B3631C">
        <w:trPr>
          <w:jc w:val="right"/>
        </w:trPr>
        <w:tc>
          <w:tcPr>
            <w:tcW w:w="1985"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680200027"/>
            <w:showingPlcHdr/>
            <w:dropDownList>
              <w:listItem w:displayText="EU" w:value="EU"/>
              <w:listItem w:displayText="Non-EU" w:value="Non-EU"/>
            </w:dropDownList>
          </w:sdtPr>
          <w:sdtEndPr/>
          <w:sdtContent>
            <w:tc>
              <w:tcPr>
                <w:tcW w:w="1134" w:type="dxa"/>
                <w:shd w:val="clear" w:color="auto" w:fill="FFFF00"/>
              </w:tcPr>
              <w:p w:rsidR="004062F8" w:rsidRPr="00177D20" w:rsidRDefault="004062F8"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126" w:type="dxa"/>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701" w:type="dxa"/>
            <w:tcBorders>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062F8" w:rsidRDefault="007B319D"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062F8" w:rsidRDefault="00554DD9"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1A3B37" w:rsidRDefault="001A3B37" w:rsidP="000339F8">
      <w:pPr>
        <w:spacing w:after="0" w:line="240" w:lineRule="auto"/>
        <w:ind w:left="709"/>
        <w:jc w:val="both"/>
        <w:rPr>
          <w:rFonts w:ascii="Times New Roman" w:eastAsiaTheme="majorEastAsia" w:hAnsi="Times New Roman" w:cs="Times New Roman"/>
          <w:bCs/>
          <w:sz w:val="24"/>
          <w:szCs w:val="24"/>
        </w:rPr>
      </w:pPr>
    </w:p>
    <w:p w:rsidR="005C549C" w:rsidRDefault="005C549C" w:rsidP="004178B3">
      <w:pPr>
        <w:pStyle w:val="ListParagraph"/>
        <w:spacing w:after="0" w:line="240" w:lineRule="auto"/>
        <w:ind w:left="709"/>
        <w:jc w:val="both"/>
        <w:rPr>
          <w:rFonts w:ascii="Times New Roman" w:eastAsiaTheme="majorEastAsia" w:hAnsi="Times New Roman" w:cs="Times New Roman"/>
          <w:bCs/>
          <w:sz w:val="24"/>
          <w:szCs w:val="24"/>
        </w:rPr>
      </w:pPr>
    </w:p>
    <w:p w:rsidR="005C549C" w:rsidRDefault="005C549C" w:rsidP="004178B3">
      <w:pPr>
        <w:pStyle w:val="ListParagraph"/>
        <w:spacing w:after="0" w:line="240" w:lineRule="auto"/>
        <w:ind w:left="709"/>
        <w:jc w:val="both"/>
        <w:rPr>
          <w:rFonts w:ascii="Times New Roman" w:eastAsiaTheme="majorEastAsia" w:hAnsi="Times New Roman" w:cs="Times New Roman"/>
          <w:bCs/>
          <w:sz w:val="24"/>
          <w:szCs w:val="24"/>
        </w:rPr>
      </w:pPr>
    </w:p>
    <w:p w:rsidR="004178B3" w:rsidRDefault="004178B3" w:rsidP="004178B3">
      <w:pPr>
        <w:pStyle w:val="ListParagraph"/>
        <w:spacing w:after="0" w:line="240" w:lineRule="auto"/>
        <w:ind w:left="709"/>
        <w:jc w:val="both"/>
        <w:rPr>
          <w:rFonts w:ascii="Times New Roman" w:eastAsiaTheme="majorEastAsia" w:hAnsi="Times New Roman" w:cs="Times New Roman"/>
          <w:bCs/>
          <w:sz w:val="24"/>
          <w:szCs w:val="24"/>
        </w:rPr>
      </w:pPr>
    </w:p>
    <w:p w:rsidR="000B7B2A" w:rsidRDefault="000B7B2A" w:rsidP="0089575E">
      <w:pPr>
        <w:ind w:left="142"/>
        <w:jc w:val="center"/>
        <w:rPr>
          <w:rFonts w:ascii="Times New Roman" w:hAnsi="Times New Roman" w:cs="Times New Roman"/>
          <w:b/>
          <w:bCs/>
          <w:sz w:val="26"/>
          <w:szCs w:val="26"/>
        </w:rPr>
      </w:pPr>
    </w:p>
    <w:p w:rsidR="004D4FE0" w:rsidRDefault="004D4FE0" w:rsidP="0089575E">
      <w:pPr>
        <w:ind w:left="142"/>
        <w:jc w:val="center"/>
        <w:rPr>
          <w:rFonts w:ascii="Times New Roman" w:hAnsi="Times New Roman" w:cs="Times New Roman"/>
          <w:b/>
          <w:bCs/>
          <w:sz w:val="26"/>
          <w:szCs w:val="26"/>
        </w:rPr>
      </w:pPr>
    </w:p>
    <w:p w:rsidR="0089575E" w:rsidRDefault="004D4FE0" w:rsidP="00EC1F3D">
      <w:pPr>
        <w:jc w:val="center"/>
        <w:rPr>
          <w:rFonts w:ascii="Times New Roman" w:hAnsi="Times New Roman" w:cs="Times New Roman"/>
          <w:b/>
          <w:bCs/>
          <w:sz w:val="26"/>
          <w:szCs w:val="26"/>
        </w:rPr>
      </w:pPr>
      <w:r>
        <w:rPr>
          <w:rFonts w:ascii="Times New Roman" w:hAnsi="Times New Roman" w:cs="Times New Roman"/>
          <w:b/>
          <w:bCs/>
          <w:sz w:val="26"/>
          <w:szCs w:val="26"/>
        </w:rPr>
        <w:br w:type="page"/>
      </w:r>
      <w:r w:rsidR="0089575E" w:rsidRPr="007F7A79">
        <w:rPr>
          <w:rFonts w:ascii="Times New Roman" w:hAnsi="Times New Roman" w:cs="Times New Roman"/>
          <w:b/>
          <w:bCs/>
          <w:sz w:val="26"/>
          <w:szCs w:val="26"/>
        </w:rPr>
        <w:lastRenderedPageBreak/>
        <w:t xml:space="preserve">Section </w:t>
      </w:r>
      <w:r w:rsidR="0089575E">
        <w:rPr>
          <w:rFonts w:ascii="Times New Roman" w:hAnsi="Times New Roman" w:cs="Times New Roman"/>
          <w:b/>
          <w:bCs/>
          <w:sz w:val="26"/>
          <w:szCs w:val="26"/>
        </w:rPr>
        <w:t>12:</w:t>
      </w:r>
      <w:r w:rsidR="0089575E" w:rsidRPr="007F7A79">
        <w:rPr>
          <w:rFonts w:ascii="Times New Roman" w:hAnsi="Times New Roman" w:cs="Times New Roman"/>
          <w:b/>
          <w:bCs/>
          <w:sz w:val="26"/>
          <w:szCs w:val="26"/>
        </w:rPr>
        <w:t xml:space="preserve"> </w:t>
      </w:r>
      <w:r w:rsidR="0089575E">
        <w:rPr>
          <w:rFonts w:ascii="Times New Roman" w:hAnsi="Times New Roman" w:cs="Times New Roman"/>
          <w:b/>
          <w:bCs/>
          <w:sz w:val="26"/>
          <w:szCs w:val="26"/>
        </w:rPr>
        <w:t>Transparency and Disclosure Requirements</w:t>
      </w:r>
    </w:p>
    <w:p w:rsidR="0089575E" w:rsidRPr="00FE6778" w:rsidRDefault="0089575E" w:rsidP="000112DF">
      <w:pPr>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deals with the</w:t>
      </w:r>
      <w:r w:rsidR="00FE6778" w:rsidRPr="00FE6778">
        <w:rPr>
          <w:rFonts w:ascii="Times New Roman" w:hAnsi="Times New Roman" w:cs="Times New Roman"/>
          <w:i/>
          <w:color w:val="808080" w:themeColor="background1" w:themeShade="80"/>
        </w:rPr>
        <w:t xml:space="preserve"> Licence Holder’s operational arrangements in terms of resources in view of the applicable </w:t>
      </w:r>
      <w:r w:rsidRPr="00FE6778">
        <w:rPr>
          <w:rFonts w:ascii="Times New Roman" w:hAnsi="Times New Roman" w:cs="Times New Roman"/>
          <w:i/>
          <w:color w:val="808080" w:themeColor="background1" w:themeShade="80"/>
        </w:rPr>
        <w:t>transparency and disclosure r</w:t>
      </w:r>
      <w:r w:rsidR="000112DF" w:rsidRPr="00FE6778">
        <w:rPr>
          <w:rFonts w:ascii="Times New Roman" w:hAnsi="Times New Roman" w:cs="Times New Roman"/>
          <w:i/>
          <w:color w:val="808080" w:themeColor="background1" w:themeShade="80"/>
        </w:rPr>
        <w:t xml:space="preserve">equirements in </w:t>
      </w:r>
      <w:r w:rsidR="00FE6778" w:rsidRPr="00FE6778">
        <w:rPr>
          <w:rFonts w:ascii="Times New Roman" w:hAnsi="Times New Roman" w:cs="Times New Roman"/>
          <w:i/>
          <w:color w:val="808080" w:themeColor="background1" w:themeShade="80"/>
        </w:rPr>
        <w:t>terms of</w:t>
      </w:r>
      <w:r w:rsidR="000112DF" w:rsidRPr="00FE6778">
        <w:rPr>
          <w:rFonts w:ascii="Times New Roman" w:hAnsi="Times New Roman" w:cs="Times New Roman"/>
          <w:i/>
          <w:color w:val="808080" w:themeColor="background1" w:themeShade="80"/>
        </w:rPr>
        <w:t xml:space="preserve"> A</w:t>
      </w:r>
      <w:r w:rsidRPr="00FE6778">
        <w:rPr>
          <w:rFonts w:ascii="Times New Roman" w:hAnsi="Times New Roman" w:cs="Times New Roman"/>
          <w:i/>
          <w:color w:val="808080" w:themeColor="background1" w:themeShade="80"/>
        </w:rPr>
        <w:t>rticle 22 and 23 of the Directive and Section I of Chapter V of the Commission Delegated Regulation.</w:t>
      </w:r>
    </w:p>
    <w:p w:rsidR="00D84C0A" w:rsidRPr="00FE6778" w:rsidRDefault="00D84C0A" w:rsidP="000112DF">
      <w:pPr>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This section needs to be completed by internally managed AIFs and </w:t>
      </w:r>
      <w:r w:rsidR="00EF06F2" w:rsidRPr="00FE6778">
        <w:rPr>
          <w:rFonts w:ascii="Times New Roman" w:hAnsi="Times New Roman" w:cs="Times New Roman"/>
          <w:i/>
          <w:color w:val="808080" w:themeColor="background1" w:themeShade="80"/>
        </w:rPr>
        <w:t>Fund Managers (including UCITS Management Companies</w:t>
      </w:r>
      <w:r w:rsidR="00EC1F3D" w:rsidRPr="00EC1F3D">
        <w:rPr>
          <w:rFonts w:ascii="Times New Roman" w:eastAsiaTheme="majorEastAsia" w:hAnsi="Times New Roman" w:cs="Times New Roman"/>
          <w:bCs/>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EF06F2" w:rsidRPr="00FE6778">
        <w:rPr>
          <w:rFonts w:ascii="Times New Roman" w:hAnsi="Times New Roman" w:cs="Times New Roman"/>
          <w:i/>
          <w:color w:val="808080" w:themeColor="background1" w:themeShade="80"/>
        </w:rPr>
        <w:t>)</w:t>
      </w:r>
      <w:r w:rsidR="0024465F">
        <w:rPr>
          <w:rFonts w:ascii="Times New Roman" w:hAnsi="Times New Roman" w:cs="Times New Roman"/>
          <w:i/>
          <w:color w:val="808080" w:themeColor="background1" w:themeShade="80"/>
        </w:rPr>
        <w:t>.</w:t>
      </w:r>
    </w:p>
    <w:p w:rsidR="006801C9" w:rsidRPr="00FE6778" w:rsidRDefault="006801C9" w:rsidP="006801C9">
      <w:pPr>
        <w:pStyle w:val="ListParagraph"/>
        <w:spacing w:after="0" w:line="240" w:lineRule="auto"/>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AIFMs should also provide a declaration outlining that the </w:t>
      </w:r>
      <w:r w:rsidRPr="00FE6778">
        <w:rPr>
          <w:rFonts w:ascii="Times New Roman" w:eastAsiaTheme="majorEastAsia" w:hAnsi="Times New Roman" w:cs="Times New Roman"/>
          <w:bCs/>
          <w:i/>
          <w:color w:val="808080" w:themeColor="background1" w:themeShade="80"/>
        </w:rPr>
        <w:t xml:space="preserve">prospectus/ offering document </w:t>
      </w:r>
      <w:r w:rsidRPr="00FE6778">
        <w:rPr>
          <w:rFonts w:ascii="Times New Roman" w:hAnsi="Times New Roman" w:cs="Times New Roman"/>
          <w:i/>
          <w:color w:val="808080" w:themeColor="background1" w:themeShade="80"/>
        </w:rPr>
        <w:t xml:space="preserve">of the </w:t>
      </w:r>
      <w:r w:rsidR="003D3CFE" w:rsidRPr="00FE6778">
        <w:rPr>
          <w:rFonts w:ascii="Times New Roman" w:hAnsi="Times New Roman" w:cs="Times New Roman"/>
          <w:i/>
          <w:color w:val="808080" w:themeColor="background1" w:themeShade="80"/>
        </w:rPr>
        <w:t xml:space="preserve">EU and non-EU </w:t>
      </w:r>
      <w:r w:rsidRPr="00FE6778">
        <w:rPr>
          <w:rFonts w:ascii="Times New Roman" w:hAnsi="Times New Roman" w:cs="Times New Roman"/>
          <w:i/>
          <w:color w:val="808080" w:themeColor="background1" w:themeShade="80"/>
        </w:rPr>
        <w:t>AIFs under management are in line with transparency and disclosure requirements in accordance with Article 22 and 23 of the Directive</w:t>
      </w:r>
      <w:r w:rsidR="0024465F">
        <w:rPr>
          <w:rFonts w:ascii="Times New Roman" w:hAnsi="Times New Roman" w:cs="Times New Roman"/>
          <w:i/>
          <w:color w:val="808080" w:themeColor="background1" w:themeShade="80"/>
        </w:rPr>
        <w:t>.</w:t>
      </w:r>
    </w:p>
    <w:p w:rsidR="006801C9" w:rsidRDefault="006801C9" w:rsidP="006801C9">
      <w:pPr>
        <w:pStyle w:val="ListParagraph"/>
        <w:spacing w:after="0" w:line="240" w:lineRule="auto"/>
        <w:ind w:left="709"/>
        <w:jc w:val="both"/>
        <w:rPr>
          <w:rFonts w:ascii="Times New Roman" w:hAnsi="Times New Roman" w:cs="Times New Roman"/>
          <w:i/>
          <w:color w:val="808080" w:themeColor="background1" w:themeShade="80"/>
          <w:sz w:val="24"/>
          <w:szCs w:val="24"/>
        </w:rPr>
      </w:pPr>
    </w:p>
    <w:p w:rsidR="004D4FE0" w:rsidRPr="00B3631C" w:rsidRDefault="0089575E" w:rsidP="000112DF">
      <w:pPr>
        <w:pStyle w:val="ListParagraph"/>
        <w:numPr>
          <w:ilvl w:val="1"/>
          <w:numId w:val="48"/>
        </w:numPr>
        <w:spacing w:after="0" w:line="240" w:lineRule="auto"/>
        <w:ind w:left="709" w:hanging="709"/>
        <w:jc w:val="both"/>
        <w:rPr>
          <w:rFonts w:ascii="Times New Roman" w:hAnsi="Times New Roman" w:cs="Times New Roman"/>
          <w:sz w:val="24"/>
          <w:szCs w:val="24"/>
        </w:rPr>
      </w:pPr>
      <w:r w:rsidRPr="004D4FE0">
        <w:rPr>
          <w:rFonts w:ascii="Times New Roman" w:hAnsi="Times New Roman" w:cs="Times New Roman"/>
          <w:sz w:val="24"/>
          <w:szCs w:val="24"/>
        </w:rPr>
        <w:t xml:space="preserve">Detail the </w:t>
      </w:r>
      <w:r w:rsidR="00ED228E" w:rsidRPr="004D4FE0">
        <w:rPr>
          <w:rFonts w:ascii="Times New Roman" w:hAnsi="Times New Roman" w:cs="Times New Roman"/>
          <w:sz w:val="24"/>
          <w:szCs w:val="24"/>
        </w:rPr>
        <w:t xml:space="preserve">operational </w:t>
      </w:r>
      <w:r w:rsidRPr="004D4FE0">
        <w:rPr>
          <w:rFonts w:ascii="Times New Roman" w:hAnsi="Times New Roman" w:cs="Times New Roman"/>
          <w:sz w:val="24"/>
          <w:szCs w:val="24"/>
        </w:rPr>
        <w:t xml:space="preserve">arrangements </w:t>
      </w:r>
      <w:r w:rsidR="00ED228E" w:rsidRPr="004D4FE0">
        <w:rPr>
          <w:rFonts w:ascii="Times New Roman" w:hAnsi="Times New Roman" w:cs="Times New Roman"/>
          <w:sz w:val="24"/>
          <w:szCs w:val="24"/>
        </w:rPr>
        <w:t xml:space="preserve">in terms of resources that are put in place by the AIFM to </w:t>
      </w:r>
      <w:r w:rsidRPr="004D4FE0">
        <w:rPr>
          <w:rFonts w:ascii="Times New Roman" w:hAnsi="Times New Roman" w:cs="Times New Roman"/>
          <w:sz w:val="24"/>
          <w:szCs w:val="24"/>
        </w:rPr>
        <w:t xml:space="preserve">comply with the additional reporting </w:t>
      </w:r>
      <w:r w:rsidR="00ED228E" w:rsidRPr="004D4FE0">
        <w:rPr>
          <w:rFonts w:ascii="Times New Roman" w:hAnsi="Times New Roman" w:cs="Times New Roman"/>
          <w:sz w:val="24"/>
          <w:szCs w:val="24"/>
        </w:rPr>
        <w:t xml:space="preserve">and disclosure </w:t>
      </w:r>
      <w:r w:rsidRPr="004D4FE0">
        <w:rPr>
          <w:rFonts w:ascii="Times New Roman" w:hAnsi="Times New Roman" w:cs="Times New Roman"/>
          <w:sz w:val="24"/>
          <w:szCs w:val="24"/>
        </w:rPr>
        <w:t>requirements</w:t>
      </w:r>
      <w:r w:rsidR="00ED228E" w:rsidRPr="004D4FE0">
        <w:rPr>
          <w:rFonts w:ascii="Times New Roman" w:hAnsi="Times New Roman" w:cs="Times New Roman"/>
          <w:sz w:val="24"/>
          <w:szCs w:val="24"/>
        </w:rPr>
        <w:t xml:space="preserve"> for the AIFM</w:t>
      </w:r>
      <w:r w:rsidR="004D4FE0" w:rsidRPr="00B3631C">
        <w:rPr>
          <w:rFonts w:ascii="Times New Roman" w:hAnsi="Times New Roman" w:cs="Times New Roman"/>
          <w:sz w:val="24"/>
          <w:szCs w:val="24"/>
        </w:rPr>
        <w:t>.</w:t>
      </w:r>
    </w:p>
    <w:p w:rsidR="004D4FE0" w:rsidRPr="00B3631C" w:rsidRDefault="004D4FE0" w:rsidP="00B3631C">
      <w:pPr>
        <w:pStyle w:val="ListParagraph"/>
        <w:spacing w:after="0" w:line="240" w:lineRule="auto"/>
        <w:ind w:left="709"/>
        <w:jc w:val="both"/>
        <w:rPr>
          <w:rFonts w:ascii="Times New Roman" w:hAnsi="Times New Roman" w:cs="Times New Roman"/>
          <w:sz w:val="24"/>
          <w:szCs w:val="24"/>
        </w:rPr>
      </w:pPr>
    </w:p>
    <w:p w:rsidR="004D4FE0" w:rsidRDefault="004D4FE0" w:rsidP="00B3631C">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[Note: The additional reporting and disclosure requirements </w:t>
      </w:r>
      <w:r w:rsidR="00F04B83" w:rsidRPr="004D4FE0">
        <w:rPr>
          <w:rFonts w:ascii="Times New Roman" w:hAnsi="Times New Roman" w:cs="Times New Roman"/>
          <w:sz w:val="24"/>
          <w:szCs w:val="24"/>
        </w:rPr>
        <w:t>include</w:t>
      </w:r>
      <w:r>
        <w:rPr>
          <w:rFonts w:ascii="Times New Roman" w:hAnsi="Times New Roman" w:cs="Times New Roman"/>
          <w:sz w:val="24"/>
          <w:szCs w:val="24"/>
        </w:rPr>
        <w:t>:</w:t>
      </w:r>
      <w:r w:rsidR="00F04B83" w:rsidRPr="004D4FE0">
        <w:rPr>
          <w:rFonts w:ascii="Times New Roman" w:hAnsi="Times New Roman" w:cs="Times New Roman"/>
          <w:sz w:val="24"/>
          <w:szCs w:val="24"/>
        </w:rPr>
        <w:t xml:space="preserve"> </w:t>
      </w:r>
    </w:p>
    <w:p w:rsidR="004D4FE0"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 </w:t>
      </w:r>
      <w:proofErr w:type="gramStart"/>
      <w:r w:rsidR="004D4FE0">
        <w:rPr>
          <w:rFonts w:ascii="Times New Roman" w:hAnsi="Times New Roman" w:cs="Times New Roman"/>
          <w:sz w:val="24"/>
          <w:szCs w:val="24"/>
        </w:rPr>
        <w:t>those</w:t>
      </w:r>
      <w:proofErr w:type="gramEnd"/>
      <w:r w:rsidRPr="004D4FE0">
        <w:rPr>
          <w:rFonts w:ascii="Times New Roman" w:hAnsi="Times New Roman" w:cs="Times New Roman"/>
          <w:sz w:val="24"/>
          <w:szCs w:val="24"/>
        </w:rPr>
        <w:t xml:space="preserve"> that are required to be submitted to the MFSA</w:t>
      </w:r>
      <w:r w:rsidR="00F04B83" w:rsidRPr="004D4FE0">
        <w:rPr>
          <w:rFonts w:ascii="Times New Roman" w:hAnsi="Times New Roman" w:cs="Times New Roman"/>
          <w:sz w:val="24"/>
          <w:szCs w:val="24"/>
        </w:rPr>
        <w:t xml:space="preserve"> (including </w:t>
      </w:r>
      <w:r w:rsidR="00F04B83" w:rsidRPr="004D4FE0">
        <w:rPr>
          <w:rStyle w:val="apple-converted-space"/>
          <w:rFonts w:ascii="Times New Roman" w:hAnsi="Times New Roman" w:cs="Times New Roman"/>
          <w:sz w:val="24"/>
          <w:szCs w:val="24"/>
          <w:lang w:val="en"/>
        </w:rPr>
        <w:t> </w:t>
      </w:r>
      <w:r w:rsidR="00F04B83" w:rsidRPr="004D4FE0">
        <w:rPr>
          <w:rFonts w:ascii="Times New Roman" w:hAnsi="Times New Roman" w:cs="Times New Roman"/>
          <w:sz w:val="24"/>
          <w:szCs w:val="24"/>
          <w:lang w:val="en"/>
        </w:rPr>
        <w:t>the disclosure reporting requirements in respect of AIF</w:t>
      </w:r>
      <w:r w:rsidR="00D10686">
        <w:rPr>
          <w:rFonts w:ascii="Times New Roman" w:hAnsi="Times New Roman" w:cs="Times New Roman"/>
          <w:sz w:val="24"/>
          <w:szCs w:val="24"/>
          <w:lang w:val="en"/>
        </w:rPr>
        <w:t>s</w:t>
      </w:r>
      <w:r w:rsidR="00F04B83" w:rsidRPr="004D4FE0">
        <w:rPr>
          <w:rFonts w:ascii="Times New Roman" w:hAnsi="Times New Roman" w:cs="Times New Roman"/>
          <w:sz w:val="24"/>
          <w:szCs w:val="24"/>
          <w:lang w:val="en"/>
        </w:rPr>
        <w:t xml:space="preserve"> that employ leverage)</w:t>
      </w:r>
      <w:r w:rsidRPr="004D4FE0">
        <w:rPr>
          <w:rFonts w:ascii="Times New Roman" w:hAnsi="Times New Roman" w:cs="Times New Roman"/>
          <w:sz w:val="24"/>
          <w:szCs w:val="24"/>
        </w:rPr>
        <w:t xml:space="preserve">; </w:t>
      </w:r>
    </w:p>
    <w:p w:rsidR="004D4FE0"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ii) </w:t>
      </w:r>
      <w:proofErr w:type="gramStart"/>
      <w:r w:rsidR="00D10686">
        <w:rPr>
          <w:rFonts w:ascii="Times New Roman" w:hAnsi="Times New Roman" w:cs="Times New Roman"/>
          <w:sz w:val="24"/>
          <w:szCs w:val="24"/>
        </w:rPr>
        <w:t>those</w:t>
      </w:r>
      <w:proofErr w:type="gramEnd"/>
      <w:r w:rsidR="00D10686">
        <w:rPr>
          <w:rFonts w:ascii="Times New Roman" w:hAnsi="Times New Roman" w:cs="Times New Roman"/>
          <w:sz w:val="24"/>
          <w:szCs w:val="24"/>
        </w:rPr>
        <w:t xml:space="preserve"> that are required to be disclosed to investors</w:t>
      </w:r>
      <w:r w:rsidRPr="004D4FE0">
        <w:rPr>
          <w:rFonts w:ascii="Times New Roman" w:hAnsi="Times New Roman" w:cs="Times New Roman"/>
          <w:sz w:val="24"/>
          <w:szCs w:val="24"/>
        </w:rPr>
        <w:t xml:space="preserve">; and </w:t>
      </w:r>
    </w:p>
    <w:p w:rsidR="0089575E" w:rsidRPr="00F04B83"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iii) </w:t>
      </w:r>
      <w:proofErr w:type="gramStart"/>
      <w:r w:rsidRPr="004D4FE0">
        <w:rPr>
          <w:rFonts w:ascii="Times New Roman" w:hAnsi="Times New Roman" w:cs="Times New Roman"/>
          <w:sz w:val="24"/>
          <w:szCs w:val="24"/>
        </w:rPr>
        <w:t>the</w:t>
      </w:r>
      <w:proofErr w:type="gramEnd"/>
      <w:r w:rsidRPr="004D4FE0">
        <w:rPr>
          <w:rFonts w:ascii="Times New Roman" w:hAnsi="Times New Roman" w:cs="Times New Roman"/>
          <w:sz w:val="24"/>
          <w:szCs w:val="24"/>
        </w:rPr>
        <w:t xml:space="preserve"> additional disclosure </w:t>
      </w:r>
      <w:r w:rsidR="00F04B83" w:rsidRPr="004D4FE0">
        <w:rPr>
          <w:rFonts w:ascii="Times New Roman" w:hAnsi="Times New Roman" w:cs="Times New Roman"/>
          <w:sz w:val="24"/>
          <w:szCs w:val="24"/>
        </w:rPr>
        <w:t>requirements</w:t>
      </w:r>
      <w:r w:rsidRPr="004D4FE0">
        <w:rPr>
          <w:rFonts w:ascii="Times New Roman" w:hAnsi="Times New Roman" w:cs="Times New Roman"/>
          <w:sz w:val="24"/>
          <w:szCs w:val="24"/>
        </w:rPr>
        <w:t xml:space="preserve"> that are required to be included in the AIFM Annual Report</w:t>
      </w:r>
      <w:r w:rsidR="004D4FE0">
        <w:rPr>
          <w:rFonts w:ascii="Times New Roman" w:hAnsi="Times New Roman" w:cs="Times New Roman"/>
          <w:sz w:val="24"/>
          <w:szCs w:val="24"/>
        </w:rPr>
        <w:t>].</w:t>
      </w:r>
      <w:r w:rsidR="004062F8" w:rsidRPr="004D4FE0">
        <w:rPr>
          <w:rFonts w:ascii="Times New Roman" w:hAnsi="Times New Roman" w:cs="Times New Roman"/>
          <w:sz w:val="24"/>
          <w:szCs w:val="24"/>
        </w:rPr>
        <w:t xml:space="preserve"> </w:t>
      </w:r>
    </w:p>
    <w:p w:rsidR="0089575E" w:rsidRPr="0089575E" w:rsidRDefault="0089575E" w:rsidP="0089575E">
      <w:pPr>
        <w:spacing w:after="0" w:line="240" w:lineRule="auto"/>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9575E" w:rsidRPr="00C01DA9" w:rsidTr="00087790">
        <w:trPr>
          <w:trHeight w:val="207"/>
        </w:trPr>
        <w:tc>
          <w:tcPr>
            <w:tcW w:w="8647" w:type="dxa"/>
            <w:vMerge w:val="restart"/>
            <w:shd w:val="clear" w:color="000000" w:fill="FFFF00"/>
            <w:hideMark/>
          </w:tcPr>
          <w:p w:rsidR="0089575E" w:rsidRDefault="0089575E" w:rsidP="00087790">
            <w:pPr>
              <w:spacing w:after="0" w:line="240" w:lineRule="auto"/>
              <w:jc w:val="both"/>
              <w:rPr>
                <w:rFonts w:ascii="Times New Roman" w:eastAsia="Times New Roman" w:hAnsi="Times New Roman" w:cs="Times New Roman"/>
                <w:sz w:val="24"/>
                <w:szCs w:val="24"/>
                <w:lang w:eastAsia="en-GB"/>
              </w:rPr>
            </w:pPr>
          </w:p>
          <w:p w:rsidR="0089575E" w:rsidRDefault="00554DD9"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9575E" w:rsidRDefault="0089575E" w:rsidP="00087790">
            <w:pPr>
              <w:spacing w:after="0" w:line="240" w:lineRule="auto"/>
              <w:jc w:val="both"/>
              <w:rPr>
                <w:rFonts w:ascii="Times New Roman" w:eastAsia="Times New Roman" w:hAnsi="Times New Roman" w:cs="Times New Roman"/>
                <w:sz w:val="24"/>
                <w:szCs w:val="24"/>
                <w:lang w:eastAsia="en-GB"/>
              </w:rPr>
            </w:pPr>
          </w:p>
          <w:p w:rsidR="0089575E" w:rsidRPr="00C01DA9" w:rsidRDefault="0089575E" w:rsidP="00087790">
            <w:pPr>
              <w:spacing w:after="0" w:line="240" w:lineRule="auto"/>
              <w:jc w:val="both"/>
              <w:rPr>
                <w:rFonts w:ascii="Times New Roman" w:eastAsia="Times New Roman" w:hAnsi="Times New Roman" w:cs="Times New Roman"/>
                <w:sz w:val="18"/>
                <w:szCs w:val="18"/>
                <w:lang w:eastAsia="en-GB"/>
              </w:rPr>
            </w:pPr>
          </w:p>
        </w:tc>
      </w:tr>
      <w:tr w:rsidR="0089575E" w:rsidRPr="00C01DA9" w:rsidTr="00087790">
        <w:trPr>
          <w:trHeight w:val="244"/>
        </w:trPr>
        <w:tc>
          <w:tcPr>
            <w:tcW w:w="8647" w:type="dxa"/>
            <w:vMerge/>
            <w:vAlign w:val="center"/>
            <w:hideMark/>
          </w:tcPr>
          <w:p w:rsidR="0089575E" w:rsidRPr="00C01DA9" w:rsidRDefault="0089575E" w:rsidP="00087790">
            <w:pPr>
              <w:spacing w:after="0" w:line="240" w:lineRule="auto"/>
              <w:jc w:val="both"/>
              <w:rPr>
                <w:rFonts w:ascii="Times New Roman" w:eastAsia="Times New Roman" w:hAnsi="Times New Roman" w:cs="Times New Roman"/>
                <w:sz w:val="18"/>
                <w:szCs w:val="18"/>
                <w:lang w:eastAsia="en-GB"/>
              </w:rPr>
            </w:pPr>
          </w:p>
        </w:tc>
      </w:tr>
    </w:tbl>
    <w:p w:rsidR="0089575E" w:rsidRDefault="0089575E" w:rsidP="004178B3">
      <w:pPr>
        <w:pStyle w:val="ListParagraph"/>
        <w:spacing w:after="0" w:line="240" w:lineRule="auto"/>
        <w:ind w:left="709"/>
        <w:jc w:val="both"/>
        <w:rPr>
          <w:rFonts w:ascii="Times New Roman" w:eastAsiaTheme="majorEastAsia" w:hAnsi="Times New Roman" w:cs="Times New Roman"/>
          <w:bCs/>
          <w:sz w:val="24"/>
          <w:szCs w:val="24"/>
        </w:rPr>
      </w:pPr>
    </w:p>
    <w:p w:rsidR="00D84C0A" w:rsidRDefault="00D84C0A"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FE6778" w:rsidRDefault="00FE6778" w:rsidP="004178B3">
      <w:pPr>
        <w:pStyle w:val="ListParagraph"/>
        <w:spacing w:after="0" w:line="240" w:lineRule="auto"/>
        <w:ind w:left="709"/>
        <w:jc w:val="both"/>
        <w:rPr>
          <w:rFonts w:ascii="Times New Roman" w:eastAsiaTheme="majorEastAsia" w:hAnsi="Times New Roman" w:cs="Times New Roman"/>
          <w:bCs/>
          <w:sz w:val="24"/>
          <w:szCs w:val="24"/>
        </w:rPr>
      </w:pPr>
    </w:p>
    <w:p w:rsidR="00FE6778" w:rsidRDefault="00FE6778"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BF7C7E" w:rsidRDefault="00BF7C7E" w:rsidP="004178B3">
      <w:pPr>
        <w:pStyle w:val="ListParagraph"/>
        <w:spacing w:after="0" w:line="240" w:lineRule="auto"/>
        <w:ind w:left="709"/>
        <w:jc w:val="both"/>
        <w:rPr>
          <w:rFonts w:ascii="Times New Roman" w:eastAsiaTheme="majorEastAsia" w:hAnsi="Times New Roman" w:cs="Times New Roman"/>
          <w:bCs/>
          <w:sz w:val="24"/>
          <w:szCs w:val="24"/>
        </w:rPr>
      </w:pPr>
    </w:p>
    <w:p w:rsidR="00554DD9" w:rsidRDefault="00554DD9" w:rsidP="0058026E">
      <w:pPr>
        <w:rPr>
          <w:rFonts w:ascii="Times New Roman" w:hAnsi="Times New Roman"/>
          <w:b/>
          <w:i/>
          <w:sz w:val="28"/>
          <w:szCs w:val="28"/>
          <w:u w:val="single"/>
        </w:rPr>
      </w:pPr>
    </w:p>
    <w:p w:rsidR="00EC1F3D" w:rsidRDefault="00EC1F3D" w:rsidP="0058026E">
      <w:pPr>
        <w:rPr>
          <w:rFonts w:ascii="Times New Roman" w:hAnsi="Times New Roman"/>
          <w:b/>
          <w:i/>
          <w:sz w:val="28"/>
          <w:szCs w:val="28"/>
          <w:u w:val="single"/>
        </w:rPr>
      </w:pPr>
    </w:p>
    <w:p w:rsidR="00554DD9" w:rsidRDefault="00554DD9" w:rsidP="0058026E">
      <w:pPr>
        <w:rPr>
          <w:rFonts w:ascii="Times New Roman" w:hAnsi="Times New Roman"/>
          <w:b/>
          <w:i/>
          <w:sz w:val="28"/>
          <w:szCs w:val="28"/>
          <w:u w:val="single"/>
        </w:rPr>
      </w:pPr>
    </w:p>
    <w:p w:rsidR="0058026E" w:rsidRPr="008012C6" w:rsidRDefault="0058026E" w:rsidP="0058026E">
      <w:pPr>
        <w:rPr>
          <w:rFonts w:ascii="Times New Roman" w:hAnsi="Times New Roman"/>
          <w:b/>
          <w:i/>
          <w:sz w:val="28"/>
          <w:szCs w:val="28"/>
          <w:u w:val="single"/>
        </w:rPr>
      </w:pPr>
      <w:r w:rsidRPr="008012C6">
        <w:rPr>
          <w:rFonts w:ascii="Times New Roman" w:hAnsi="Times New Roman"/>
          <w:b/>
          <w:i/>
          <w:sz w:val="28"/>
          <w:szCs w:val="28"/>
          <w:u w:val="single"/>
        </w:rPr>
        <w:lastRenderedPageBreak/>
        <w:t>Checklist</w:t>
      </w: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Please ensure that the following documentation </w:t>
      </w:r>
      <w:r w:rsidR="001553A4">
        <w:rPr>
          <w:rFonts w:ascii="Times New Roman" w:eastAsiaTheme="majorEastAsia" w:hAnsi="Times New Roman" w:cs="Times New Roman"/>
          <w:bCs/>
          <w:sz w:val="24"/>
          <w:szCs w:val="24"/>
        </w:rPr>
        <w:t>is</w:t>
      </w:r>
      <w:r>
        <w:rPr>
          <w:rFonts w:ascii="Times New Roman" w:eastAsiaTheme="majorEastAsia" w:hAnsi="Times New Roman" w:cs="Times New Roman"/>
          <w:bCs/>
          <w:sz w:val="24"/>
          <w:szCs w:val="24"/>
        </w:rPr>
        <w:t xml:space="preserve"> attached as applicable:</w:t>
      </w: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tbl>
      <w:tblPr>
        <w:tblStyle w:val="TableGrid"/>
        <w:tblW w:w="0" w:type="auto"/>
        <w:tblInd w:w="108" w:type="dxa"/>
        <w:tblLook w:val="04A0" w:firstRow="1" w:lastRow="0" w:firstColumn="1" w:lastColumn="0" w:noHBand="0" w:noVBand="1"/>
      </w:tblPr>
      <w:tblGrid>
        <w:gridCol w:w="8310"/>
        <w:gridCol w:w="1096"/>
      </w:tblGrid>
      <w:tr w:rsidR="00650403" w:rsidTr="00772AC8">
        <w:tc>
          <w:tcPr>
            <w:tcW w:w="8505" w:type="dxa"/>
          </w:tcPr>
          <w:p w:rsidR="00650403" w:rsidRDefault="00650403" w:rsidP="00B3631C">
            <w:pPr>
              <w:pStyle w:val="ListParagraph"/>
              <w:ind w:left="426"/>
              <w:jc w:val="both"/>
              <w:rPr>
                <w:rFonts w:ascii="Times New Roman" w:eastAsiaTheme="majorEastAsia" w:hAnsi="Times New Roman" w:cs="Times New Roman"/>
                <w:bCs/>
                <w:sz w:val="24"/>
                <w:szCs w:val="24"/>
              </w:rPr>
            </w:pPr>
          </w:p>
        </w:tc>
        <w:tc>
          <w:tcPr>
            <w:tcW w:w="901" w:type="dxa"/>
          </w:tcPr>
          <w:p w:rsidR="00650403" w:rsidRDefault="00650403" w:rsidP="0058026E">
            <w:pPr>
              <w:pStyle w:val="ListParagraph"/>
              <w:ind w:left="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Enclosed</w:t>
            </w:r>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Information on AIFs as per Section 2</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893259221"/>
                <w14:checkbox>
                  <w14:checked w14:val="0"/>
                  <w14:checkedState w14:val="2612" w14:font="MS Gothic"/>
                  <w14:uncheckedState w14:val="2610" w14:font="MS Gothic"/>
                </w14:checkbox>
              </w:sdtPr>
              <w:sdtEndPr/>
              <w:sdtContent>
                <w:r w:rsidR="00C05CF7">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Professional Indemnity Insurance Cover as per Q.4.3</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991454280"/>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the remuneration policy as per Section 5</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213622089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conflicts of interest as per Section 6</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433317690"/>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Risk Management policy document outlined in Q.7.4</w:t>
            </w:r>
            <w:r w:rsidR="0024465F">
              <w:rPr>
                <w:rFonts w:ascii="Times New Roman" w:eastAsiaTheme="majorEastAsia" w:hAnsi="Times New Roman" w:cs="Times New Roman"/>
                <w:bCs/>
                <w:sz w:val="24"/>
                <w:szCs w:val="24"/>
              </w:rPr>
              <w:t xml:space="preserve"> </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598591645"/>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Details of any derogation request on the Risk Management function as per Q.7.2</w:t>
            </w:r>
            <w:r w:rsidR="0024465F">
              <w:rPr>
                <w:rFonts w:ascii="Times New Roman" w:eastAsiaTheme="majorEastAsia" w:hAnsi="Times New Roman" w:cs="Times New Roman"/>
                <w:bCs/>
                <w:sz w:val="24"/>
                <w:szCs w:val="24"/>
              </w:rPr>
              <w:t xml:space="preserve"> (as applicable)</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342322213"/>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the valuation as per Section 9</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786641813"/>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Portfolio/ Risk management delegation agreements as per Section 10</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41039697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the depositary agreement as per Section 11</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8629350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with respect to the transparency and disclosure requirements as per Section 12.</w:t>
            </w:r>
          </w:p>
        </w:tc>
        <w:tc>
          <w:tcPr>
            <w:tcW w:w="901" w:type="dxa"/>
          </w:tcPr>
          <w:p w:rsidR="00650403" w:rsidRDefault="00534C5F"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727605305"/>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bl>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p w:rsidR="000E2308" w:rsidRDefault="000E2308" w:rsidP="0058026E">
      <w:pPr>
        <w:pStyle w:val="ListParagraph"/>
        <w:spacing w:after="0" w:line="240" w:lineRule="auto"/>
        <w:ind w:left="0"/>
        <w:jc w:val="both"/>
        <w:rPr>
          <w:rFonts w:ascii="Times New Roman" w:eastAsiaTheme="majorEastAsia" w:hAnsi="Times New Roman" w:cs="Times New Roman"/>
          <w:bCs/>
          <w:sz w:val="24"/>
          <w:szCs w:val="24"/>
        </w:rPr>
      </w:pPr>
    </w:p>
    <w:p w:rsidR="00BF7C7E" w:rsidRPr="004831A7" w:rsidRDefault="00BF7C7E" w:rsidP="00BF7C7E">
      <w:pPr>
        <w:rPr>
          <w:rFonts w:ascii="Times New Roman" w:hAnsi="Times New Roman"/>
          <w:b/>
          <w:i/>
          <w:sz w:val="28"/>
          <w:szCs w:val="28"/>
          <w:u w:val="single"/>
        </w:rPr>
      </w:pPr>
      <w:r w:rsidRPr="004831A7">
        <w:rPr>
          <w:rFonts w:ascii="Times New Roman" w:hAnsi="Times New Roman"/>
          <w:b/>
          <w:i/>
          <w:sz w:val="28"/>
          <w:szCs w:val="28"/>
          <w:u w:val="single"/>
        </w:rPr>
        <w:t>Declaration</w:t>
      </w:r>
    </w:p>
    <w:p w:rsidR="0058026E" w:rsidRDefault="0058026E" w:rsidP="00BF7C7E">
      <w:pPr>
        <w:spacing w:after="0"/>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I certify that to the best of my knowledge and belief, the information supplied </w:t>
      </w:r>
      <w:r w:rsidR="0058026E">
        <w:rPr>
          <w:rFonts w:ascii="Times New Roman" w:hAnsi="Times New Roman"/>
          <w:sz w:val="24"/>
          <w:szCs w:val="24"/>
        </w:rPr>
        <w:t xml:space="preserve">in this form </w:t>
      </w:r>
      <w:r w:rsidRPr="004831A7">
        <w:rPr>
          <w:rFonts w:ascii="Times New Roman" w:hAnsi="Times New Roman"/>
          <w:sz w:val="24"/>
          <w:szCs w:val="24"/>
        </w:rPr>
        <w:t>is complete and accurate in all material respects.</w:t>
      </w:r>
    </w:p>
    <w:p w:rsidR="00BF7C7E" w:rsidRPr="004831A7" w:rsidRDefault="00BF7C7E" w:rsidP="00BF7C7E">
      <w:pPr>
        <w:spacing w:after="0"/>
        <w:jc w:val="both"/>
        <w:rPr>
          <w:rFonts w:ascii="Times New Roman" w:hAnsi="Times New Roman"/>
          <w:sz w:val="24"/>
          <w:szCs w:val="24"/>
        </w:rPr>
      </w:pPr>
    </w:p>
    <w:p w:rsidR="00BF7C7E" w:rsidRP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Name (in block capitals):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Position Title: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Date: </w:t>
      </w:r>
      <w:r w:rsidRPr="004831A7">
        <w:rPr>
          <w:rFonts w:ascii="Times New Roman" w:hAnsi="Times New Roman"/>
          <w:sz w:val="24"/>
          <w:szCs w:val="24"/>
        </w:rPr>
        <w:tab/>
      </w:r>
      <w:r w:rsidRPr="004831A7">
        <w:rPr>
          <w:rFonts w:ascii="Times New Roman" w:hAnsi="Times New Roman"/>
          <w:sz w:val="24"/>
          <w:szCs w:val="24"/>
        </w:rPr>
        <w:tab/>
      </w:r>
      <w:r w:rsidRPr="004831A7">
        <w:rPr>
          <w:rFonts w:ascii="Times New Roman" w:hAnsi="Times New Roman"/>
          <w:sz w:val="24"/>
          <w:szCs w:val="24"/>
        </w:rPr>
        <w:tab/>
        <w:t xml:space="preserve">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Signed: </w:t>
      </w:r>
      <w:r w:rsidRPr="004831A7">
        <w:rPr>
          <w:rFonts w:ascii="Times New Roman" w:hAnsi="Times New Roman"/>
          <w:sz w:val="24"/>
          <w:szCs w:val="24"/>
        </w:rPr>
        <w:tab/>
      </w:r>
      <w:r w:rsidRPr="004831A7">
        <w:rPr>
          <w:rFonts w:ascii="Times New Roman" w:hAnsi="Times New Roman"/>
          <w:sz w:val="24"/>
          <w:szCs w:val="24"/>
        </w:rPr>
        <w:tab/>
        <w:t xml:space="preserve">         ____________________</w:t>
      </w:r>
    </w:p>
    <w:p w:rsidR="00BF7C7E" w:rsidRPr="004831A7" w:rsidRDefault="00BF7C7E" w:rsidP="00BF7C7E">
      <w:pPr>
        <w:spacing w:after="0"/>
        <w:jc w:val="both"/>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p>
    <w:p w:rsidR="00BF7C7E"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This declaration should be signed by an official of the </w:t>
      </w:r>
      <w:r>
        <w:rPr>
          <w:rFonts w:ascii="Times New Roman" w:hAnsi="Times New Roman"/>
          <w:sz w:val="24"/>
          <w:szCs w:val="24"/>
        </w:rPr>
        <w:t>Licence Holder</w:t>
      </w:r>
      <w:r w:rsidRPr="004831A7">
        <w:rPr>
          <w:rFonts w:ascii="Times New Roman" w:hAnsi="Times New Roman"/>
          <w:sz w:val="24"/>
          <w:szCs w:val="24"/>
        </w:rPr>
        <w:t xml:space="preserve"> who has sufficient standing or by an individual who has been authorised to sign on behalf of the </w:t>
      </w:r>
      <w:r>
        <w:rPr>
          <w:rFonts w:ascii="Times New Roman" w:hAnsi="Times New Roman"/>
          <w:sz w:val="24"/>
          <w:szCs w:val="24"/>
        </w:rPr>
        <w:t>Licence Holder</w:t>
      </w:r>
      <w:r w:rsidRPr="004831A7">
        <w:rPr>
          <w:rFonts w:ascii="Times New Roman" w:hAnsi="Times New Roman"/>
          <w:sz w:val="24"/>
          <w:szCs w:val="24"/>
        </w:rPr>
        <w:t xml:space="preserve">. </w:t>
      </w:r>
    </w:p>
    <w:p w:rsidR="00D84C0A" w:rsidRDefault="00D84C0A" w:rsidP="00BF7C7E">
      <w:pPr>
        <w:spacing w:after="0"/>
        <w:jc w:val="both"/>
        <w:rPr>
          <w:rFonts w:ascii="Times New Roman" w:hAnsi="Times New Roman"/>
          <w:sz w:val="24"/>
          <w:szCs w:val="24"/>
        </w:rPr>
      </w:pPr>
    </w:p>
    <w:p w:rsidR="00BF7C7E" w:rsidRDefault="00BF7C7E" w:rsidP="00B3631C">
      <w:pPr>
        <w:rPr>
          <w:rFonts w:ascii="Times New Roman" w:eastAsiaTheme="majorEastAsia" w:hAnsi="Times New Roman" w:cs="Times New Roman"/>
          <w:bCs/>
          <w:sz w:val="24"/>
          <w:szCs w:val="24"/>
        </w:rPr>
      </w:pPr>
    </w:p>
    <w:sectPr w:rsidR="00BF7C7E" w:rsidSect="002F4EA9">
      <w:footerReference w:type="default" r:id="rId13"/>
      <w:pgSz w:w="11906" w:h="16838"/>
      <w:pgMar w:top="1440" w:right="1304" w:bottom="1418"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5F" w:rsidRDefault="00534C5F" w:rsidP="00693108">
      <w:pPr>
        <w:spacing w:after="0" w:line="240" w:lineRule="auto"/>
      </w:pPr>
      <w:r>
        <w:separator/>
      </w:r>
    </w:p>
  </w:endnote>
  <w:endnote w:type="continuationSeparator" w:id="0">
    <w:p w:rsidR="00534C5F" w:rsidRDefault="00534C5F" w:rsidP="0069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Std">
    <w:altName w:val="Utopia Std"/>
    <w:panose1 w:val="00000000000000000000"/>
    <w:charset w:val="00"/>
    <w:family w:val="roman"/>
    <w:notTrueType/>
    <w:pitch w:val="default"/>
    <w:sig w:usb0="00000003" w:usb1="00000000" w:usb2="00000000" w:usb3="00000000" w:csb0="00000001" w:csb1="00000000"/>
  </w:font>
  <w:font w:name="Meta Offc">
    <w:altName w:val="Meta Off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DE" w:rsidRDefault="001322DE">
    <w:pPr>
      <w:pStyle w:val="Footer"/>
      <w:jc w:val="center"/>
    </w:pPr>
  </w:p>
  <w:p w:rsidR="001322DE" w:rsidRDefault="00132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19700"/>
      <w:docPartObj>
        <w:docPartGallery w:val="Page Numbers (Bottom of Page)"/>
        <w:docPartUnique/>
      </w:docPartObj>
    </w:sdtPr>
    <w:sdtEndPr>
      <w:rPr>
        <w:rFonts w:ascii="Times New Roman" w:hAnsi="Times New Roman" w:cs="Times New Roman"/>
        <w:noProof/>
      </w:rPr>
    </w:sdtEndPr>
    <w:sdtContent>
      <w:p w:rsidR="001322DE" w:rsidRPr="007045A2" w:rsidRDefault="001322DE">
        <w:pPr>
          <w:pStyle w:val="Footer"/>
          <w:jc w:val="right"/>
          <w:rPr>
            <w:rFonts w:ascii="Times New Roman" w:hAnsi="Times New Roman" w:cs="Times New Roman"/>
          </w:rPr>
        </w:pPr>
        <w:r w:rsidRPr="007045A2">
          <w:rPr>
            <w:rFonts w:ascii="Times New Roman" w:hAnsi="Times New Roman" w:cs="Times New Roman"/>
          </w:rPr>
          <w:fldChar w:fldCharType="begin"/>
        </w:r>
        <w:r w:rsidRPr="007045A2">
          <w:rPr>
            <w:rFonts w:ascii="Times New Roman" w:hAnsi="Times New Roman" w:cs="Times New Roman"/>
          </w:rPr>
          <w:instrText xml:space="preserve"> PAGE   \* MERGEFORMAT </w:instrText>
        </w:r>
        <w:r w:rsidRPr="007045A2">
          <w:rPr>
            <w:rFonts w:ascii="Times New Roman" w:hAnsi="Times New Roman" w:cs="Times New Roman"/>
          </w:rPr>
          <w:fldChar w:fldCharType="separate"/>
        </w:r>
        <w:r w:rsidR="00C32662">
          <w:rPr>
            <w:rFonts w:ascii="Times New Roman" w:hAnsi="Times New Roman" w:cs="Times New Roman"/>
            <w:noProof/>
          </w:rPr>
          <w:t>28</w:t>
        </w:r>
        <w:r w:rsidRPr="007045A2">
          <w:rPr>
            <w:rFonts w:ascii="Times New Roman" w:hAnsi="Times New Roman" w:cs="Times New Roman"/>
            <w:noProof/>
          </w:rPr>
          <w:fldChar w:fldCharType="end"/>
        </w:r>
      </w:p>
    </w:sdtContent>
  </w:sdt>
  <w:p w:rsidR="001322DE" w:rsidRDefault="0013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5F" w:rsidRDefault="00534C5F" w:rsidP="00693108">
      <w:pPr>
        <w:spacing w:after="0" w:line="240" w:lineRule="auto"/>
      </w:pPr>
      <w:r>
        <w:separator/>
      </w:r>
    </w:p>
  </w:footnote>
  <w:footnote w:type="continuationSeparator" w:id="0">
    <w:p w:rsidR="00534C5F" w:rsidRDefault="00534C5F" w:rsidP="00693108">
      <w:pPr>
        <w:spacing w:after="0" w:line="240" w:lineRule="auto"/>
      </w:pPr>
      <w:r>
        <w:continuationSeparator/>
      </w:r>
    </w:p>
  </w:footnote>
  <w:footnote w:id="1">
    <w:p w:rsidR="001322DE" w:rsidRPr="002D66B7" w:rsidRDefault="001322DE" w:rsidP="002D66B7">
      <w:pPr>
        <w:pStyle w:val="FootnoteText"/>
        <w:jc w:val="both"/>
        <w:rPr>
          <w:sz w:val="18"/>
          <w:szCs w:val="18"/>
        </w:rPr>
      </w:pPr>
      <w:r>
        <w:rPr>
          <w:rStyle w:val="FootnoteReference"/>
        </w:rPr>
        <w:footnoteRef/>
      </w:r>
      <w:r>
        <w:t xml:space="preserve"> </w:t>
      </w:r>
      <w:r w:rsidRPr="002D66B7">
        <w:rPr>
          <w:rFonts w:ascii="Times New Roman" w:hAnsi="Times New Roman" w:cs="Times New Roman"/>
          <w:sz w:val="18"/>
          <w:szCs w:val="18"/>
        </w:rPr>
        <w:t>AIFMs are required to submit details o</w:t>
      </w:r>
      <w:r>
        <w:rPr>
          <w:rFonts w:ascii="Times New Roman" w:hAnsi="Times New Roman" w:cs="Times New Roman"/>
          <w:sz w:val="18"/>
          <w:szCs w:val="18"/>
        </w:rPr>
        <w:t>f the basis of which</w:t>
      </w:r>
      <w:r w:rsidRPr="002D66B7">
        <w:rPr>
          <w:rFonts w:ascii="Times New Roman" w:hAnsi="Times New Roman" w:cs="Times New Roman"/>
          <w:sz w:val="18"/>
          <w:szCs w:val="18"/>
        </w:rPr>
        <w:t xml:space="preserve"> </w:t>
      </w:r>
      <w:proofErr w:type="gramStart"/>
      <w:r>
        <w:rPr>
          <w:rFonts w:ascii="Times New Roman" w:hAnsi="Times New Roman" w:cs="Times New Roman"/>
          <w:sz w:val="18"/>
          <w:szCs w:val="18"/>
        </w:rPr>
        <w:t>a</w:t>
      </w:r>
      <w:r w:rsidRPr="002D66B7">
        <w:rPr>
          <w:rFonts w:ascii="Times New Roman" w:hAnsi="Times New Roman" w:cs="Times New Roman"/>
          <w:sz w:val="18"/>
          <w:szCs w:val="18"/>
        </w:rPr>
        <w:t xml:space="preserve"> derogation</w:t>
      </w:r>
      <w:proofErr w:type="gramEnd"/>
      <w:r w:rsidRPr="002D66B7">
        <w:rPr>
          <w:rFonts w:ascii="Times New Roman" w:hAnsi="Times New Roman" w:cs="Times New Roman"/>
          <w:sz w:val="18"/>
          <w:szCs w:val="18"/>
        </w:rPr>
        <w:t xml:space="preserve"> </w:t>
      </w:r>
      <w:r>
        <w:rPr>
          <w:rFonts w:ascii="Times New Roman" w:hAnsi="Times New Roman" w:cs="Times New Roman"/>
          <w:sz w:val="18"/>
          <w:szCs w:val="18"/>
        </w:rPr>
        <w:t xml:space="preserve">is requested from </w:t>
      </w:r>
      <w:r w:rsidRPr="002D66B7">
        <w:rPr>
          <w:rFonts w:ascii="Times New Roman" w:hAnsi="Times New Roman" w:cs="Times New Roman"/>
          <w:sz w:val="18"/>
          <w:szCs w:val="18"/>
        </w:rPr>
        <w:t xml:space="preserve">the requirement for the establishment of a permanent risk management function </w:t>
      </w:r>
      <w:r>
        <w:rPr>
          <w:rFonts w:ascii="Times New Roman" w:hAnsi="Times New Roman" w:cs="Times New Roman"/>
          <w:sz w:val="18"/>
          <w:szCs w:val="18"/>
        </w:rPr>
        <w:t>which is</w:t>
      </w:r>
      <w:r w:rsidRPr="002D66B7">
        <w:rPr>
          <w:rFonts w:ascii="Times New Roman" w:hAnsi="Times New Roman" w:cs="Times New Roman"/>
          <w:sz w:val="18"/>
          <w:szCs w:val="18"/>
        </w:rPr>
        <w:t xml:space="preserve"> hierarchically and functionally independent from the operating units</w:t>
      </w:r>
      <w:r>
        <w:rPr>
          <w:rFonts w:ascii="Times New Roman" w:hAnsi="Times New Roman" w:cs="Times New Roman"/>
          <w:sz w:val="18"/>
          <w:szCs w:val="18"/>
        </w:rPr>
        <w:t>.</w:t>
      </w:r>
      <w:r w:rsidRPr="002D66B7">
        <w:rPr>
          <w:rFonts w:ascii="Times New Roman" w:hAnsi="Times New Roman" w:cs="Times New Roman"/>
          <w:sz w:val="18"/>
          <w:szCs w:val="18"/>
        </w:rPr>
        <w:t xml:space="preserve"> </w:t>
      </w:r>
    </w:p>
  </w:footnote>
  <w:footnote w:id="2">
    <w:p w:rsidR="001322DE" w:rsidRPr="009A0440" w:rsidRDefault="001322DE" w:rsidP="004239EE">
      <w:pPr>
        <w:pStyle w:val="FootnoteText"/>
        <w:jc w:val="both"/>
        <w:rPr>
          <w:rFonts w:ascii="Times New Roman" w:hAnsi="Times New Roman" w:cs="Times New Roman"/>
          <w:sz w:val="18"/>
          <w:szCs w:val="18"/>
        </w:rPr>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AIFMs are required to submit a Personal Questionnaire Form in respect of the individuals undertaking the risk management function. </w:t>
      </w:r>
    </w:p>
  </w:footnote>
  <w:footnote w:id="3">
    <w:p w:rsidR="001322DE" w:rsidRDefault="001322DE" w:rsidP="00125C20">
      <w:pPr>
        <w:pStyle w:val="FootnoteText"/>
        <w:jc w:val="both"/>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AIFMs are required to submit a CV of the individual/s monitoring the delegated risk management</w:t>
      </w:r>
      <w:r>
        <w:rPr>
          <w:rFonts w:ascii="Times New Roman" w:hAnsi="Times New Roman" w:cs="Times New Roman"/>
          <w:sz w:val="18"/>
          <w:szCs w:val="18"/>
        </w:rPr>
        <w:t>,</w:t>
      </w:r>
      <w:r w:rsidRPr="009A0440">
        <w:rPr>
          <w:rFonts w:ascii="Times New Roman" w:hAnsi="Times New Roman" w:cs="Times New Roman"/>
          <w:sz w:val="18"/>
          <w:szCs w:val="18"/>
        </w:rPr>
        <w:t xml:space="preserve"> including the CV of the individual/s carrying out the risk management function within the delegated party.</w:t>
      </w:r>
    </w:p>
  </w:footnote>
  <w:footnote w:id="4">
    <w:p w:rsidR="001322DE" w:rsidRPr="00844501" w:rsidRDefault="001322DE" w:rsidP="009A0440">
      <w:pPr>
        <w:pStyle w:val="FootnoteText"/>
        <w:jc w:val="both"/>
        <w:rPr>
          <w:rFonts w:ascii="Times New Roman" w:hAnsi="Times New Roman" w:cs="Times New Roman"/>
          <w:sz w:val="18"/>
          <w:szCs w:val="18"/>
        </w:rPr>
      </w:pPr>
      <w:r w:rsidRPr="00844501">
        <w:rPr>
          <w:rStyle w:val="FootnoteReference"/>
          <w:rFonts w:ascii="Times New Roman" w:hAnsi="Times New Roman" w:cs="Times New Roman"/>
          <w:sz w:val="18"/>
          <w:szCs w:val="18"/>
        </w:rPr>
        <w:footnoteRef/>
      </w:r>
      <w:r w:rsidRPr="00844501">
        <w:rPr>
          <w:rFonts w:ascii="Times New Roman" w:hAnsi="Times New Roman" w:cs="Times New Roman"/>
          <w:sz w:val="18"/>
          <w:szCs w:val="18"/>
        </w:rPr>
        <w:t xml:space="preserve"> Certain exemptions apply pursuant to </w:t>
      </w:r>
      <w:r>
        <w:rPr>
          <w:rFonts w:ascii="Times New Roman" w:hAnsi="Times New Roman" w:cs="Times New Roman"/>
          <w:sz w:val="18"/>
          <w:szCs w:val="18"/>
        </w:rPr>
        <w:t xml:space="preserve">Article 51(2) of the Commission Delegated Regulation. </w:t>
      </w:r>
    </w:p>
  </w:footnote>
  <w:footnote w:id="5">
    <w:p w:rsidR="001322DE" w:rsidRDefault="001322DE" w:rsidP="0068136B">
      <w:pPr>
        <w:pStyle w:val="FootnoteText"/>
        <w:jc w:val="both"/>
      </w:pPr>
      <w:r>
        <w:rPr>
          <w:rStyle w:val="FootnoteReference"/>
        </w:rPr>
        <w:footnoteRef/>
      </w:r>
      <w:r>
        <w:t xml:space="preserve"> </w:t>
      </w:r>
      <w:r w:rsidRPr="0068136B">
        <w:rPr>
          <w:rFonts w:ascii="Times New Roman" w:hAnsi="Times New Roman" w:cs="Times New Roman"/>
          <w:sz w:val="18"/>
          <w:szCs w:val="18"/>
        </w:rPr>
        <w:t>In accordance with Article 19(7)</w:t>
      </w:r>
      <w:r>
        <w:rPr>
          <w:rFonts w:ascii="Times New Roman" w:hAnsi="Times New Roman" w:cs="Times New Roman"/>
          <w:sz w:val="18"/>
          <w:szCs w:val="18"/>
        </w:rPr>
        <w:t>,</w:t>
      </w:r>
      <w:r w:rsidRPr="0068136B">
        <w:rPr>
          <w:rFonts w:ascii="Times New Roman" w:hAnsi="Times New Roman" w:cs="Times New Roman"/>
          <w:sz w:val="18"/>
          <w:szCs w:val="18"/>
        </w:rPr>
        <w:t xml:space="preserve"> AIFMs shall notify the appointment of the external valuer to the competent authorities of their home Member State</w:t>
      </w:r>
      <w:r>
        <w:rPr>
          <w:rFonts w:ascii="Times New Roman" w:hAnsi="Times New Roman" w:cs="Times New Roman"/>
          <w:sz w:val="18"/>
          <w:szCs w:val="18"/>
        </w:rPr>
        <w:t>,</w:t>
      </w:r>
      <w:r w:rsidRPr="0068136B">
        <w:rPr>
          <w:rFonts w:ascii="Times New Roman" w:hAnsi="Times New Roman" w:cs="Times New Roman"/>
          <w:sz w:val="18"/>
          <w:szCs w:val="18"/>
        </w:rPr>
        <w:t xml:space="preserve"> which may require that another valuer be appointed instead where the conditions laid down in paragraph 5 of Article 19 are not met.</w:t>
      </w:r>
    </w:p>
  </w:footnote>
  <w:footnote w:id="6">
    <w:p w:rsidR="001322DE" w:rsidRPr="009A0440" w:rsidRDefault="001322DE" w:rsidP="002550C7">
      <w:pPr>
        <w:pStyle w:val="ListParagraph"/>
        <w:spacing w:after="0" w:line="240" w:lineRule="auto"/>
        <w:ind w:left="0"/>
        <w:jc w:val="both"/>
        <w:rPr>
          <w:rFonts w:ascii="Times New Roman" w:hAnsi="Times New Roman" w:cs="Times New Roman"/>
          <w:sz w:val="18"/>
          <w:szCs w:val="18"/>
        </w:rPr>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For EU AIFs</w:t>
      </w:r>
      <w:r>
        <w:rPr>
          <w:rFonts w:ascii="Times New Roman" w:hAnsi="Times New Roman" w:cs="Times New Roman"/>
          <w:sz w:val="18"/>
          <w:szCs w:val="18"/>
        </w:rPr>
        <w:t>,</w:t>
      </w:r>
      <w:r w:rsidRPr="009A0440">
        <w:rPr>
          <w:rFonts w:ascii="Times New Roman" w:hAnsi="Times New Roman" w:cs="Times New Roman"/>
          <w:sz w:val="18"/>
          <w:szCs w:val="18"/>
        </w:rPr>
        <w:t xml:space="preserve"> the depositary should be established in the home Member State of the AIF – depending on whether the home Member State of the AIF will make use of the four year transitional period in accordance with Article 61(5) of the Directive. </w:t>
      </w:r>
    </w:p>
    <w:p w:rsidR="001322DE" w:rsidRPr="009A0440" w:rsidRDefault="001322DE" w:rsidP="009A0440">
      <w:pPr>
        <w:spacing w:after="0" w:line="240" w:lineRule="auto"/>
        <w:jc w:val="both"/>
        <w:rPr>
          <w:rFonts w:ascii="Times New Roman" w:hAnsi="Times New Roman" w:cs="Times New Roman"/>
          <w:sz w:val="18"/>
          <w:szCs w:val="18"/>
        </w:rPr>
      </w:pPr>
      <w:r w:rsidRPr="009A0440">
        <w:rPr>
          <w:rFonts w:ascii="Times New Roman" w:hAnsi="Times New Roman" w:cs="Times New Roman"/>
          <w:sz w:val="18"/>
          <w:szCs w:val="18"/>
        </w:rPr>
        <w:t>For Non-EU AIFs, the depositary should be established in the third country where the AIF is established or in the home Member State of the AIFM managing the AIF or in the Member State of reference of the AIFM.</w:t>
      </w:r>
    </w:p>
    <w:p w:rsidR="001322DE" w:rsidRDefault="001322D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FAC"/>
    <w:multiLevelType w:val="hybridMultilevel"/>
    <w:tmpl w:val="28A0D592"/>
    <w:lvl w:ilvl="0" w:tplc="79B231F0">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814E5C"/>
    <w:multiLevelType w:val="multilevel"/>
    <w:tmpl w:val="F6E416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531B8"/>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nsid w:val="070577EE"/>
    <w:multiLevelType w:val="multilevel"/>
    <w:tmpl w:val="D3F28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06272E"/>
    <w:multiLevelType w:val="hybridMultilevel"/>
    <w:tmpl w:val="B766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5331E0"/>
    <w:multiLevelType w:val="hybridMultilevel"/>
    <w:tmpl w:val="A5400DE0"/>
    <w:lvl w:ilvl="0" w:tplc="21E80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C7E0D"/>
    <w:multiLevelType w:val="hybridMultilevel"/>
    <w:tmpl w:val="D3DAE0F0"/>
    <w:lvl w:ilvl="0" w:tplc="FF202D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39691D"/>
    <w:multiLevelType w:val="hybridMultilevel"/>
    <w:tmpl w:val="E80802C0"/>
    <w:lvl w:ilvl="0" w:tplc="C1F4309A">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11D3F7A"/>
    <w:multiLevelType w:val="multilevel"/>
    <w:tmpl w:val="D750C254"/>
    <w:lvl w:ilvl="0">
      <w:start w:val="1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nsid w:val="12F86B57"/>
    <w:multiLevelType w:val="hybridMultilevel"/>
    <w:tmpl w:val="CEA4FC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501"/>
    <w:multiLevelType w:val="multilevel"/>
    <w:tmpl w:val="47CA80CE"/>
    <w:lvl w:ilvl="0">
      <w:start w:val="6"/>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sz w:val="24"/>
        <w:szCs w:val="24"/>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1">
    <w:nsid w:val="230A781A"/>
    <w:multiLevelType w:val="hybridMultilevel"/>
    <w:tmpl w:val="78B673F8"/>
    <w:lvl w:ilvl="0" w:tplc="91640DCA">
      <w:start w:val="1"/>
      <w:numFmt w:val="lowerRoman"/>
      <w:lvlText w:val="%1)"/>
      <w:lvlJc w:val="left"/>
      <w:pPr>
        <w:ind w:left="612" w:hanging="720"/>
      </w:pPr>
      <w:rPr>
        <w:rFonts w:hint="default"/>
        <w:b w:val="0"/>
        <w:color w:val="auto"/>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nsid w:val="27E11C43"/>
    <w:multiLevelType w:val="hybridMultilevel"/>
    <w:tmpl w:val="793093EC"/>
    <w:lvl w:ilvl="0" w:tplc="247E430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2CC712C6"/>
    <w:multiLevelType w:val="hybridMultilevel"/>
    <w:tmpl w:val="E80802C0"/>
    <w:lvl w:ilvl="0" w:tplc="C1F4309A">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2D2B14DF"/>
    <w:multiLevelType w:val="multilevel"/>
    <w:tmpl w:val="D7128C3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537045"/>
    <w:multiLevelType w:val="hybridMultilevel"/>
    <w:tmpl w:val="CD34E6AE"/>
    <w:lvl w:ilvl="0" w:tplc="29505298">
      <w:numFmt w:val="bullet"/>
      <w:lvlText w:val="-"/>
      <w:lvlJc w:val="left"/>
      <w:pPr>
        <w:ind w:left="872" w:hanging="360"/>
      </w:pPr>
      <w:rPr>
        <w:rFonts w:ascii="Times New Roman" w:eastAsia="Times New Roman" w:hAnsi="Times New Roman" w:cs="Times New Roman"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6">
    <w:nsid w:val="37416B90"/>
    <w:multiLevelType w:val="hybridMultilevel"/>
    <w:tmpl w:val="559A8F98"/>
    <w:lvl w:ilvl="0" w:tplc="6098071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39970780"/>
    <w:multiLevelType w:val="hybridMultilevel"/>
    <w:tmpl w:val="54745600"/>
    <w:lvl w:ilvl="0" w:tplc="73980C5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8323B"/>
    <w:multiLevelType w:val="multilevel"/>
    <w:tmpl w:val="CDA614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55768C"/>
    <w:multiLevelType w:val="hybridMultilevel"/>
    <w:tmpl w:val="5A8631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0B2EE2"/>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1">
    <w:nsid w:val="441769D5"/>
    <w:multiLevelType w:val="hybridMultilevel"/>
    <w:tmpl w:val="7D56C394"/>
    <w:lvl w:ilvl="0" w:tplc="059C7ED0">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FA639C"/>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nsid w:val="48D724E9"/>
    <w:multiLevelType w:val="multilevel"/>
    <w:tmpl w:val="76CAA1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99F0A8F"/>
    <w:multiLevelType w:val="multilevel"/>
    <w:tmpl w:val="8D70694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F03CA5"/>
    <w:multiLevelType w:val="hybridMultilevel"/>
    <w:tmpl w:val="BC1632DA"/>
    <w:lvl w:ilvl="0" w:tplc="34F891F6">
      <w:start w:val="1"/>
      <w:numFmt w:val="decimal"/>
      <w:lvlText w:val="%1."/>
      <w:lvlJc w:val="left"/>
      <w:pPr>
        <w:ind w:left="720" w:hanging="360"/>
      </w:pPr>
      <w:rPr>
        <w:color w:val="auto"/>
      </w:rPr>
    </w:lvl>
    <w:lvl w:ilvl="1" w:tplc="DC78A9D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F33977"/>
    <w:multiLevelType w:val="hybridMultilevel"/>
    <w:tmpl w:val="47ECC00C"/>
    <w:lvl w:ilvl="0" w:tplc="A85E8B10">
      <w:start w:val="1"/>
      <w:numFmt w:val="lowerRoman"/>
      <w:lvlText w:val="%1)"/>
      <w:lvlJc w:val="left"/>
      <w:pPr>
        <w:ind w:left="1440" w:hanging="720"/>
      </w:pPr>
      <w:rPr>
        <w:rFonts w:cstheme="minorBidi"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D4D57B7"/>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8">
    <w:nsid w:val="52637472"/>
    <w:multiLevelType w:val="multilevel"/>
    <w:tmpl w:val="0758103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53371AFB"/>
    <w:multiLevelType w:val="hybridMultilevel"/>
    <w:tmpl w:val="3F8E971E"/>
    <w:lvl w:ilvl="0" w:tplc="74A66D9A">
      <w:start w:val="1"/>
      <w:numFmt w:val="lowerLetter"/>
      <w:lvlText w:val="%1)"/>
      <w:lvlJc w:val="left"/>
      <w:pPr>
        <w:tabs>
          <w:tab w:val="num" w:pos="900"/>
        </w:tabs>
        <w:ind w:left="900" w:hanging="360"/>
      </w:pPr>
      <w:rPr>
        <w:rFonts w:cs="Times New Roman" w:hint="default"/>
        <w:color w:val="auto"/>
        <w:sz w:val="24"/>
      </w:rPr>
    </w:lvl>
    <w:lvl w:ilvl="1" w:tplc="08090019">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0">
    <w:nsid w:val="537506BD"/>
    <w:multiLevelType w:val="multilevel"/>
    <w:tmpl w:val="602E23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B8609F"/>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2">
    <w:nsid w:val="5A7F07DA"/>
    <w:multiLevelType w:val="hybridMultilevel"/>
    <w:tmpl w:val="93F49E86"/>
    <w:lvl w:ilvl="0" w:tplc="3C2833F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C6D1BC2"/>
    <w:multiLevelType w:val="hybridMultilevel"/>
    <w:tmpl w:val="1B2CD0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40763A"/>
    <w:multiLevelType w:val="multilevel"/>
    <w:tmpl w:val="262E06CA"/>
    <w:lvl w:ilvl="0">
      <w:start w:val="10"/>
      <w:numFmt w:val="decimal"/>
      <w:lvlText w:val="%1"/>
      <w:lvlJc w:val="left"/>
      <w:pPr>
        <w:ind w:left="420" w:hanging="420"/>
      </w:pPr>
      <w:rPr>
        <w:rFonts w:eastAsiaTheme="minorHAnsi" w:cstheme="minorBidi" w:hint="default"/>
        <w:b/>
        <w:i/>
      </w:rPr>
    </w:lvl>
    <w:lvl w:ilvl="1">
      <w:start w:val="1"/>
      <w:numFmt w:val="decimal"/>
      <w:lvlText w:val="%1.%2"/>
      <w:lvlJc w:val="left"/>
      <w:pPr>
        <w:ind w:left="420" w:hanging="420"/>
      </w:pPr>
      <w:rPr>
        <w:rFonts w:eastAsiaTheme="minorHAnsi" w:cstheme="minorBidi" w:hint="default"/>
        <w:b w:val="0"/>
        <w:i w:val="0"/>
      </w:rPr>
    </w:lvl>
    <w:lvl w:ilvl="2">
      <w:start w:val="1"/>
      <w:numFmt w:val="decimal"/>
      <w:lvlText w:val="%1.%2.%3"/>
      <w:lvlJc w:val="left"/>
      <w:pPr>
        <w:ind w:left="720" w:hanging="720"/>
      </w:pPr>
      <w:rPr>
        <w:rFonts w:eastAsiaTheme="minorHAnsi" w:cstheme="minorBidi" w:hint="default"/>
        <w:b/>
        <w:i/>
      </w:rPr>
    </w:lvl>
    <w:lvl w:ilvl="3">
      <w:start w:val="1"/>
      <w:numFmt w:val="decimal"/>
      <w:lvlText w:val="%1.%2.%3.%4"/>
      <w:lvlJc w:val="left"/>
      <w:pPr>
        <w:ind w:left="720" w:hanging="720"/>
      </w:pPr>
      <w:rPr>
        <w:rFonts w:eastAsiaTheme="minorHAnsi" w:cstheme="minorBidi" w:hint="default"/>
        <w:b/>
        <w:i/>
      </w:rPr>
    </w:lvl>
    <w:lvl w:ilvl="4">
      <w:start w:val="1"/>
      <w:numFmt w:val="decimal"/>
      <w:lvlText w:val="%1.%2.%3.%4.%5"/>
      <w:lvlJc w:val="left"/>
      <w:pPr>
        <w:ind w:left="1080" w:hanging="1080"/>
      </w:pPr>
      <w:rPr>
        <w:rFonts w:eastAsiaTheme="minorHAnsi" w:cstheme="minorBidi" w:hint="default"/>
        <w:b/>
        <w:i/>
      </w:rPr>
    </w:lvl>
    <w:lvl w:ilvl="5">
      <w:start w:val="1"/>
      <w:numFmt w:val="decimal"/>
      <w:lvlText w:val="%1.%2.%3.%4.%5.%6"/>
      <w:lvlJc w:val="left"/>
      <w:pPr>
        <w:ind w:left="1080" w:hanging="1080"/>
      </w:pPr>
      <w:rPr>
        <w:rFonts w:eastAsiaTheme="minorHAnsi" w:cstheme="minorBidi" w:hint="default"/>
        <w:b/>
        <w:i/>
      </w:rPr>
    </w:lvl>
    <w:lvl w:ilvl="6">
      <w:start w:val="1"/>
      <w:numFmt w:val="decimal"/>
      <w:lvlText w:val="%1.%2.%3.%4.%5.%6.%7"/>
      <w:lvlJc w:val="left"/>
      <w:pPr>
        <w:ind w:left="1440" w:hanging="1440"/>
      </w:pPr>
      <w:rPr>
        <w:rFonts w:eastAsiaTheme="minorHAnsi" w:cstheme="minorBidi" w:hint="default"/>
        <w:b/>
        <w:i/>
      </w:rPr>
    </w:lvl>
    <w:lvl w:ilvl="7">
      <w:start w:val="1"/>
      <w:numFmt w:val="decimal"/>
      <w:lvlText w:val="%1.%2.%3.%4.%5.%6.%7.%8"/>
      <w:lvlJc w:val="left"/>
      <w:pPr>
        <w:ind w:left="1440" w:hanging="1440"/>
      </w:pPr>
      <w:rPr>
        <w:rFonts w:eastAsiaTheme="minorHAnsi" w:cstheme="minorBidi" w:hint="default"/>
        <w:b/>
        <w:i/>
      </w:rPr>
    </w:lvl>
    <w:lvl w:ilvl="8">
      <w:start w:val="1"/>
      <w:numFmt w:val="decimal"/>
      <w:lvlText w:val="%1.%2.%3.%4.%5.%6.%7.%8.%9"/>
      <w:lvlJc w:val="left"/>
      <w:pPr>
        <w:ind w:left="1800" w:hanging="1800"/>
      </w:pPr>
      <w:rPr>
        <w:rFonts w:eastAsiaTheme="minorHAnsi" w:cstheme="minorBidi" w:hint="default"/>
        <w:b/>
        <w:i/>
      </w:rPr>
    </w:lvl>
  </w:abstractNum>
  <w:abstractNum w:abstractNumId="35">
    <w:nsid w:val="61053A74"/>
    <w:multiLevelType w:val="multilevel"/>
    <w:tmpl w:val="276E1EA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13C7D06"/>
    <w:multiLevelType w:val="multilevel"/>
    <w:tmpl w:val="281AEB9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4C6631"/>
    <w:multiLevelType w:val="hybridMultilevel"/>
    <w:tmpl w:val="52945552"/>
    <w:lvl w:ilvl="0" w:tplc="29505298">
      <w:numFmt w:val="bullet"/>
      <w:lvlText w:val="-"/>
      <w:lvlJc w:val="left"/>
      <w:pPr>
        <w:ind w:left="1080" w:hanging="72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461989"/>
    <w:multiLevelType w:val="multilevel"/>
    <w:tmpl w:val="D17AE4BA"/>
    <w:lvl w:ilvl="0">
      <w:start w:val="5"/>
      <w:numFmt w:val="decimal"/>
      <w:lvlText w:val="%1"/>
      <w:lvlJc w:val="left"/>
      <w:pPr>
        <w:ind w:left="360" w:hanging="360"/>
      </w:pPr>
      <w:rPr>
        <w:rFonts w:hint="default"/>
        <w:b/>
        <w:i/>
        <w:color w:val="auto"/>
        <w:sz w:val="24"/>
      </w:rPr>
    </w:lvl>
    <w:lvl w:ilvl="1">
      <w:start w:val="1"/>
      <w:numFmt w:val="decimal"/>
      <w:lvlText w:val="%1.%2"/>
      <w:lvlJc w:val="left"/>
      <w:pPr>
        <w:ind w:left="786" w:hanging="360"/>
      </w:pPr>
      <w:rPr>
        <w:rFonts w:hint="default"/>
        <w:b w:val="0"/>
        <w:i w:val="0"/>
        <w:color w:val="auto"/>
        <w:sz w:val="24"/>
      </w:rPr>
    </w:lvl>
    <w:lvl w:ilvl="2">
      <w:start w:val="1"/>
      <w:numFmt w:val="decimal"/>
      <w:lvlText w:val="%1.%2.%3"/>
      <w:lvlJc w:val="left"/>
      <w:pPr>
        <w:ind w:left="1572" w:hanging="720"/>
      </w:pPr>
      <w:rPr>
        <w:rFonts w:hint="default"/>
        <w:b/>
        <w:i/>
        <w:color w:val="auto"/>
        <w:sz w:val="24"/>
      </w:rPr>
    </w:lvl>
    <w:lvl w:ilvl="3">
      <w:start w:val="1"/>
      <w:numFmt w:val="decimal"/>
      <w:lvlText w:val="%1.%2.%3.%4"/>
      <w:lvlJc w:val="left"/>
      <w:pPr>
        <w:ind w:left="1998" w:hanging="720"/>
      </w:pPr>
      <w:rPr>
        <w:rFonts w:hint="default"/>
        <w:b/>
        <w:i/>
        <w:color w:val="auto"/>
        <w:sz w:val="24"/>
      </w:rPr>
    </w:lvl>
    <w:lvl w:ilvl="4">
      <w:start w:val="1"/>
      <w:numFmt w:val="decimal"/>
      <w:lvlText w:val="%1.%2.%3.%4.%5"/>
      <w:lvlJc w:val="left"/>
      <w:pPr>
        <w:ind w:left="2784" w:hanging="1080"/>
      </w:pPr>
      <w:rPr>
        <w:rFonts w:hint="default"/>
        <w:b/>
        <w:i/>
        <w:color w:val="auto"/>
        <w:sz w:val="24"/>
      </w:rPr>
    </w:lvl>
    <w:lvl w:ilvl="5">
      <w:start w:val="1"/>
      <w:numFmt w:val="decimal"/>
      <w:lvlText w:val="%1.%2.%3.%4.%5.%6"/>
      <w:lvlJc w:val="left"/>
      <w:pPr>
        <w:ind w:left="3210" w:hanging="1080"/>
      </w:pPr>
      <w:rPr>
        <w:rFonts w:hint="default"/>
        <w:b/>
        <w:i/>
        <w:color w:val="auto"/>
        <w:sz w:val="24"/>
      </w:rPr>
    </w:lvl>
    <w:lvl w:ilvl="6">
      <w:start w:val="1"/>
      <w:numFmt w:val="decimal"/>
      <w:lvlText w:val="%1.%2.%3.%4.%5.%6.%7"/>
      <w:lvlJc w:val="left"/>
      <w:pPr>
        <w:ind w:left="3996" w:hanging="1440"/>
      </w:pPr>
      <w:rPr>
        <w:rFonts w:hint="default"/>
        <w:b/>
        <w:i/>
        <w:color w:val="auto"/>
        <w:sz w:val="24"/>
      </w:rPr>
    </w:lvl>
    <w:lvl w:ilvl="7">
      <w:start w:val="1"/>
      <w:numFmt w:val="decimal"/>
      <w:lvlText w:val="%1.%2.%3.%4.%5.%6.%7.%8"/>
      <w:lvlJc w:val="left"/>
      <w:pPr>
        <w:ind w:left="4422" w:hanging="1440"/>
      </w:pPr>
      <w:rPr>
        <w:rFonts w:hint="default"/>
        <w:b/>
        <w:i/>
        <w:color w:val="auto"/>
        <w:sz w:val="24"/>
      </w:rPr>
    </w:lvl>
    <w:lvl w:ilvl="8">
      <w:start w:val="1"/>
      <w:numFmt w:val="decimal"/>
      <w:lvlText w:val="%1.%2.%3.%4.%5.%6.%7.%8.%9"/>
      <w:lvlJc w:val="left"/>
      <w:pPr>
        <w:ind w:left="4848" w:hanging="1440"/>
      </w:pPr>
      <w:rPr>
        <w:rFonts w:hint="default"/>
        <w:b/>
        <w:i/>
        <w:color w:val="auto"/>
        <w:sz w:val="24"/>
      </w:rPr>
    </w:lvl>
  </w:abstractNum>
  <w:abstractNum w:abstractNumId="39">
    <w:nsid w:val="685B3690"/>
    <w:multiLevelType w:val="hybridMultilevel"/>
    <w:tmpl w:val="2C7CF7FA"/>
    <w:lvl w:ilvl="0" w:tplc="696E3D96">
      <w:start w:val="3"/>
      <w:numFmt w:val="bullet"/>
      <w:lvlText w:val="-"/>
      <w:lvlJc w:val="left"/>
      <w:pPr>
        <w:ind w:left="1146" w:hanging="360"/>
      </w:pPr>
      <w:rPr>
        <w:rFonts w:ascii="Times New Roman" w:eastAsia="Calibr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nsid w:val="68874E0C"/>
    <w:multiLevelType w:val="multilevel"/>
    <w:tmpl w:val="C722DE0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nsid w:val="688E6267"/>
    <w:multiLevelType w:val="hybridMultilevel"/>
    <w:tmpl w:val="894CA11A"/>
    <w:lvl w:ilvl="0" w:tplc="402E7DD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nsid w:val="6BCE14ED"/>
    <w:multiLevelType w:val="hybridMultilevel"/>
    <w:tmpl w:val="C512BD5A"/>
    <w:lvl w:ilvl="0" w:tplc="D2582D0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nsid w:val="6E4D4F9B"/>
    <w:multiLevelType w:val="hybridMultilevel"/>
    <w:tmpl w:val="9356E808"/>
    <w:lvl w:ilvl="0" w:tplc="9982B2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034552E"/>
    <w:multiLevelType w:val="hybridMultilevel"/>
    <w:tmpl w:val="056A096E"/>
    <w:lvl w:ilvl="0" w:tplc="2DD21CA6">
      <w:start w:val="1"/>
      <w:numFmt w:val="lowerLetter"/>
      <w:lvlText w:val="%1)"/>
      <w:lvlJc w:val="left"/>
      <w:pPr>
        <w:tabs>
          <w:tab w:val="num" w:pos="900"/>
        </w:tabs>
        <w:ind w:left="900" w:hanging="360"/>
      </w:pPr>
      <w:rPr>
        <w:rFonts w:cs="Times New Roman" w:hint="default"/>
        <w:b w:val="0"/>
        <w:i w:val="0"/>
        <w:color w:val="auto"/>
        <w:sz w:val="24"/>
      </w:rPr>
    </w:lvl>
    <w:lvl w:ilvl="1" w:tplc="08090019">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45">
    <w:nsid w:val="72057E6F"/>
    <w:multiLevelType w:val="hybridMultilevel"/>
    <w:tmpl w:val="E0B2A98A"/>
    <w:lvl w:ilvl="0" w:tplc="8850D2D6">
      <w:start w:val="1"/>
      <w:numFmt w:val="lowerLetter"/>
      <w:lvlText w:val="%1)"/>
      <w:lvlJc w:val="left"/>
      <w:pPr>
        <w:ind w:left="720" w:hanging="360"/>
      </w:pPr>
      <w:rPr>
        <w:rFonts w:ascii="Times New Roman" w:eastAsiaTheme="minorHAnsi" w:hAnsi="Times New Roman" w:cs="Times New Roman"/>
        <w:b w:val="0"/>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446A08"/>
    <w:multiLevelType w:val="hybridMultilevel"/>
    <w:tmpl w:val="B7666EB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7">
    <w:nsid w:val="72E1607B"/>
    <w:multiLevelType w:val="hybridMultilevel"/>
    <w:tmpl w:val="D1BA712C"/>
    <w:lvl w:ilvl="0" w:tplc="1EA4D54C">
      <w:start w:val="1"/>
      <w:numFmt w:val="lowerRoman"/>
      <w:lvlText w:val="%1)"/>
      <w:lvlJc w:val="left"/>
      <w:pPr>
        <w:tabs>
          <w:tab w:val="num" w:pos="1620"/>
        </w:tabs>
        <w:ind w:left="1620" w:hanging="720"/>
      </w:pPr>
      <w:rPr>
        <w:rFonts w:cs="Times New Roman" w:hint="default"/>
        <w:b w:val="0"/>
        <w:i w:val="0"/>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48">
    <w:nsid w:val="73AE2412"/>
    <w:multiLevelType w:val="hybridMultilevel"/>
    <w:tmpl w:val="EF7045E8"/>
    <w:lvl w:ilvl="0" w:tplc="344A55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3B75AE"/>
    <w:multiLevelType w:val="hybridMultilevel"/>
    <w:tmpl w:val="056A096E"/>
    <w:lvl w:ilvl="0" w:tplc="2DD21CA6">
      <w:start w:val="1"/>
      <w:numFmt w:val="lowerLetter"/>
      <w:lvlText w:val="%1)"/>
      <w:lvlJc w:val="left"/>
      <w:pPr>
        <w:tabs>
          <w:tab w:val="num" w:pos="900"/>
        </w:tabs>
        <w:ind w:left="900" w:hanging="360"/>
      </w:pPr>
      <w:rPr>
        <w:rFonts w:cs="Times New Roman" w:hint="default"/>
        <w:b w:val="0"/>
        <w:i w:val="0"/>
        <w:color w:val="auto"/>
        <w:sz w:val="24"/>
      </w:rPr>
    </w:lvl>
    <w:lvl w:ilvl="1" w:tplc="08090019">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50">
    <w:nsid w:val="7A097AA4"/>
    <w:multiLevelType w:val="hybridMultilevel"/>
    <w:tmpl w:val="6C300EEA"/>
    <w:lvl w:ilvl="0" w:tplc="78F6E76E">
      <w:start w:val="1"/>
      <w:numFmt w:val="lowerLetter"/>
      <w:lvlText w:val="%1)"/>
      <w:lvlJc w:val="left"/>
      <w:pPr>
        <w:ind w:left="1288" w:hanging="360"/>
      </w:pPr>
      <w:rPr>
        <w:rFonts w:hint="default"/>
        <w:sz w:val="22"/>
        <w:szCs w:val="22"/>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1">
    <w:nsid w:val="7B3A31D4"/>
    <w:multiLevelType w:val="hybridMultilevel"/>
    <w:tmpl w:val="0B309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BC330A9"/>
    <w:multiLevelType w:val="hybridMultilevel"/>
    <w:tmpl w:val="F8DA48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E677892"/>
    <w:multiLevelType w:val="hybridMultilevel"/>
    <w:tmpl w:val="528A11E6"/>
    <w:lvl w:ilvl="0" w:tplc="A6CE95B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33"/>
  </w:num>
  <w:num w:numId="2">
    <w:abstractNumId w:val="9"/>
  </w:num>
  <w:num w:numId="3">
    <w:abstractNumId w:val="19"/>
  </w:num>
  <w:num w:numId="4">
    <w:abstractNumId w:val="52"/>
  </w:num>
  <w:num w:numId="5">
    <w:abstractNumId w:val="4"/>
  </w:num>
  <w:num w:numId="6">
    <w:abstractNumId w:val="11"/>
  </w:num>
  <w:num w:numId="7">
    <w:abstractNumId w:val="1"/>
  </w:num>
  <w:num w:numId="8">
    <w:abstractNumId w:val="35"/>
  </w:num>
  <w:num w:numId="9">
    <w:abstractNumId w:val="3"/>
  </w:num>
  <w:num w:numId="10">
    <w:abstractNumId w:val="23"/>
  </w:num>
  <w:num w:numId="11">
    <w:abstractNumId w:val="28"/>
  </w:num>
  <w:num w:numId="12">
    <w:abstractNumId w:val="38"/>
  </w:num>
  <w:num w:numId="13">
    <w:abstractNumId w:val="17"/>
  </w:num>
  <w:num w:numId="14">
    <w:abstractNumId w:val="10"/>
  </w:num>
  <w:num w:numId="15">
    <w:abstractNumId w:val="44"/>
  </w:num>
  <w:num w:numId="16">
    <w:abstractNumId w:val="47"/>
  </w:num>
  <w:num w:numId="17">
    <w:abstractNumId w:val="29"/>
  </w:num>
  <w:num w:numId="18">
    <w:abstractNumId w:val="40"/>
  </w:num>
  <w:num w:numId="19">
    <w:abstractNumId w:val="45"/>
  </w:num>
  <w:num w:numId="20">
    <w:abstractNumId w:val="48"/>
  </w:num>
  <w:num w:numId="21">
    <w:abstractNumId w:val="15"/>
  </w:num>
  <w:num w:numId="22">
    <w:abstractNumId w:val="51"/>
  </w:num>
  <w:num w:numId="23">
    <w:abstractNumId w:val="37"/>
  </w:num>
  <w:num w:numId="24">
    <w:abstractNumId w:val="50"/>
  </w:num>
  <w:num w:numId="25">
    <w:abstractNumId w:val="13"/>
  </w:num>
  <w:num w:numId="26">
    <w:abstractNumId w:val="49"/>
  </w:num>
  <w:num w:numId="27">
    <w:abstractNumId w:val="6"/>
  </w:num>
  <w:num w:numId="28">
    <w:abstractNumId w:val="53"/>
  </w:num>
  <w:num w:numId="29">
    <w:abstractNumId w:val="7"/>
  </w:num>
  <w:num w:numId="30">
    <w:abstractNumId w:val="25"/>
  </w:num>
  <w:num w:numId="31">
    <w:abstractNumId w:val="26"/>
  </w:num>
  <w:num w:numId="32">
    <w:abstractNumId w:val="39"/>
  </w:num>
  <w:num w:numId="33">
    <w:abstractNumId w:val="30"/>
  </w:num>
  <w:num w:numId="34">
    <w:abstractNumId w:val="18"/>
  </w:num>
  <w:num w:numId="35">
    <w:abstractNumId w:val="12"/>
  </w:num>
  <w:num w:numId="36">
    <w:abstractNumId w:val="42"/>
  </w:num>
  <w:num w:numId="37">
    <w:abstractNumId w:val="46"/>
  </w:num>
  <w:num w:numId="38">
    <w:abstractNumId w:val="22"/>
  </w:num>
  <w:num w:numId="39">
    <w:abstractNumId w:val="34"/>
  </w:num>
  <w:num w:numId="40">
    <w:abstractNumId w:val="20"/>
  </w:num>
  <w:num w:numId="41">
    <w:abstractNumId w:val="2"/>
  </w:num>
  <w:num w:numId="42">
    <w:abstractNumId w:val="27"/>
  </w:num>
  <w:num w:numId="43">
    <w:abstractNumId w:val="31"/>
  </w:num>
  <w:num w:numId="44">
    <w:abstractNumId w:val="16"/>
  </w:num>
  <w:num w:numId="45">
    <w:abstractNumId w:val="41"/>
  </w:num>
  <w:num w:numId="46">
    <w:abstractNumId w:val="36"/>
  </w:num>
  <w:num w:numId="47">
    <w:abstractNumId w:val="8"/>
  </w:num>
  <w:num w:numId="48">
    <w:abstractNumId w:val="14"/>
  </w:num>
  <w:num w:numId="49">
    <w:abstractNumId w:val="24"/>
  </w:num>
  <w:num w:numId="50">
    <w:abstractNumId w:val="21"/>
  </w:num>
  <w:num w:numId="51">
    <w:abstractNumId w:val="0"/>
  </w:num>
  <w:num w:numId="52">
    <w:abstractNumId w:val="32"/>
  </w:num>
  <w:num w:numId="53">
    <w:abstractNumId w:val="43"/>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9tyOoNtLk4o9yfx98EDgM5CBC/U=" w:salt="TTvZIPSPLW0TmKQdqbUF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B4"/>
    <w:rsid w:val="00001632"/>
    <w:rsid w:val="0000236B"/>
    <w:rsid w:val="00003127"/>
    <w:rsid w:val="00003E65"/>
    <w:rsid w:val="0000651F"/>
    <w:rsid w:val="000112DF"/>
    <w:rsid w:val="00013D2B"/>
    <w:rsid w:val="00033776"/>
    <w:rsid w:val="000339F8"/>
    <w:rsid w:val="00037A9F"/>
    <w:rsid w:val="00047305"/>
    <w:rsid w:val="00047C26"/>
    <w:rsid w:val="00052FE8"/>
    <w:rsid w:val="000562B1"/>
    <w:rsid w:val="0006092A"/>
    <w:rsid w:val="000610B1"/>
    <w:rsid w:val="00072AAC"/>
    <w:rsid w:val="00072BCC"/>
    <w:rsid w:val="0008072B"/>
    <w:rsid w:val="00083012"/>
    <w:rsid w:val="000862F3"/>
    <w:rsid w:val="0008669A"/>
    <w:rsid w:val="000876D6"/>
    <w:rsid w:val="00087790"/>
    <w:rsid w:val="00092701"/>
    <w:rsid w:val="000933E1"/>
    <w:rsid w:val="00094333"/>
    <w:rsid w:val="00097B85"/>
    <w:rsid w:val="000A0644"/>
    <w:rsid w:val="000A178B"/>
    <w:rsid w:val="000A299D"/>
    <w:rsid w:val="000A3AD4"/>
    <w:rsid w:val="000A4109"/>
    <w:rsid w:val="000A7AFF"/>
    <w:rsid w:val="000A7F1B"/>
    <w:rsid w:val="000B0610"/>
    <w:rsid w:val="000B0770"/>
    <w:rsid w:val="000B614B"/>
    <w:rsid w:val="000B67FB"/>
    <w:rsid w:val="000B745F"/>
    <w:rsid w:val="000B7ACE"/>
    <w:rsid w:val="000B7B2A"/>
    <w:rsid w:val="000B7CD5"/>
    <w:rsid w:val="000C0B76"/>
    <w:rsid w:val="000C442F"/>
    <w:rsid w:val="000C6EF4"/>
    <w:rsid w:val="000C7F36"/>
    <w:rsid w:val="000D1101"/>
    <w:rsid w:val="000D4D0D"/>
    <w:rsid w:val="000D6B69"/>
    <w:rsid w:val="000E2308"/>
    <w:rsid w:val="000E4F80"/>
    <w:rsid w:val="000E5B19"/>
    <w:rsid w:val="000F0C87"/>
    <w:rsid w:val="000F119F"/>
    <w:rsid w:val="000F12ED"/>
    <w:rsid w:val="000F2DFE"/>
    <w:rsid w:val="000F7CA5"/>
    <w:rsid w:val="0010110A"/>
    <w:rsid w:val="00104051"/>
    <w:rsid w:val="0011181C"/>
    <w:rsid w:val="00112798"/>
    <w:rsid w:val="00113836"/>
    <w:rsid w:val="00125350"/>
    <w:rsid w:val="00125C20"/>
    <w:rsid w:val="00126830"/>
    <w:rsid w:val="00130FCA"/>
    <w:rsid w:val="00131151"/>
    <w:rsid w:val="001322DE"/>
    <w:rsid w:val="00141138"/>
    <w:rsid w:val="0014154C"/>
    <w:rsid w:val="00141C64"/>
    <w:rsid w:val="00141D07"/>
    <w:rsid w:val="00145382"/>
    <w:rsid w:val="00153387"/>
    <w:rsid w:val="00155040"/>
    <w:rsid w:val="001553A4"/>
    <w:rsid w:val="00157B91"/>
    <w:rsid w:val="001648E6"/>
    <w:rsid w:val="00165E48"/>
    <w:rsid w:val="00166026"/>
    <w:rsid w:val="00172012"/>
    <w:rsid w:val="00177D20"/>
    <w:rsid w:val="00182B7E"/>
    <w:rsid w:val="00183357"/>
    <w:rsid w:val="00183D0B"/>
    <w:rsid w:val="001844D2"/>
    <w:rsid w:val="00185841"/>
    <w:rsid w:val="00185BF2"/>
    <w:rsid w:val="001861F1"/>
    <w:rsid w:val="001866CD"/>
    <w:rsid w:val="00187991"/>
    <w:rsid w:val="00192DB3"/>
    <w:rsid w:val="00194055"/>
    <w:rsid w:val="00196187"/>
    <w:rsid w:val="00196730"/>
    <w:rsid w:val="001A3B37"/>
    <w:rsid w:val="001A6FE3"/>
    <w:rsid w:val="001B66A4"/>
    <w:rsid w:val="001B7F62"/>
    <w:rsid w:val="001C28BD"/>
    <w:rsid w:val="001C36CA"/>
    <w:rsid w:val="001C3FE0"/>
    <w:rsid w:val="001C5C8B"/>
    <w:rsid w:val="001C6B41"/>
    <w:rsid w:val="001D2978"/>
    <w:rsid w:val="001D36B0"/>
    <w:rsid w:val="001D3A7C"/>
    <w:rsid w:val="001D4B7B"/>
    <w:rsid w:val="001D712E"/>
    <w:rsid w:val="001E09BC"/>
    <w:rsid w:val="001E23DA"/>
    <w:rsid w:val="001E3988"/>
    <w:rsid w:val="001E51C7"/>
    <w:rsid w:val="001E6AE8"/>
    <w:rsid w:val="001E722A"/>
    <w:rsid w:val="001F05E9"/>
    <w:rsid w:val="001F0B0E"/>
    <w:rsid w:val="001F4BAC"/>
    <w:rsid w:val="001F5168"/>
    <w:rsid w:val="001F6622"/>
    <w:rsid w:val="00200DEA"/>
    <w:rsid w:val="002118EB"/>
    <w:rsid w:val="0021286E"/>
    <w:rsid w:val="00220AF8"/>
    <w:rsid w:val="0022167D"/>
    <w:rsid w:val="002222F2"/>
    <w:rsid w:val="00222A9E"/>
    <w:rsid w:val="00223D8C"/>
    <w:rsid w:val="002265AA"/>
    <w:rsid w:val="00227644"/>
    <w:rsid w:val="00230F78"/>
    <w:rsid w:val="00231806"/>
    <w:rsid w:val="00231836"/>
    <w:rsid w:val="00234F83"/>
    <w:rsid w:val="0023557B"/>
    <w:rsid w:val="00237158"/>
    <w:rsid w:val="002379A4"/>
    <w:rsid w:val="00243452"/>
    <w:rsid w:val="00244565"/>
    <w:rsid w:val="0024465F"/>
    <w:rsid w:val="002448AC"/>
    <w:rsid w:val="00245AF2"/>
    <w:rsid w:val="00251A7E"/>
    <w:rsid w:val="00252913"/>
    <w:rsid w:val="002542B3"/>
    <w:rsid w:val="0025441F"/>
    <w:rsid w:val="0025469B"/>
    <w:rsid w:val="002550C7"/>
    <w:rsid w:val="0025584D"/>
    <w:rsid w:val="002569ED"/>
    <w:rsid w:val="002607BB"/>
    <w:rsid w:val="00260CCC"/>
    <w:rsid w:val="002627FF"/>
    <w:rsid w:val="00262BAD"/>
    <w:rsid w:val="002636E3"/>
    <w:rsid w:val="00272AE0"/>
    <w:rsid w:val="002737F4"/>
    <w:rsid w:val="002771BF"/>
    <w:rsid w:val="0027762D"/>
    <w:rsid w:val="00277C1B"/>
    <w:rsid w:val="00290F73"/>
    <w:rsid w:val="00292DDD"/>
    <w:rsid w:val="002937F9"/>
    <w:rsid w:val="00295D38"/>
    <w:rsid w:val="00295F64"/>
    <w:rsid w:val="0029600E"/>
    <w:rsid w:val="00296973"/>
    <w:rsid w:val="002A2008"/>
    <w:rsid w:val="002A240C"/>
    <w:rsid w:val="002A54DE"/>
    <w:rsid w:val="002B01E9"/>
    <w:rsid w:val="002B0928"/>
    <w:rsid w:val="002B1182"/>
    <w:rsid w:val="002B45B6"/>
    <w:rsid w:val="002B6164"/>
    <w:rsid w:val="002B6F1B"/>
    <w:rsid w:val="002B6FF9"/>
    <w:rsid w:val="002B7C03"/>
    <w:rsid w:val="002D0423"/>
    <w:rsid w:val="002D11AB"/>
    <w:rsid w:val="002D39CE"/>
    <w:rsid w:val="002D3D2B"/>
    <w:rsid w:val="002D3DD1"/>
    <w:rsid w:val="002D549E"/>
    <w:rsid w:val="002D66B7"/>
    <w:rsid w:val="002E2FE0"/>
    <w:rsid w:val="002E58C6"/>
    <w:rsid w:val="002E5BA8"/>
    <w:rsid w:val="002F0812"/>
    <w:rsid w:val="002F140D"/>
    <w:rsid w:val="002F18D2"/>
    <w:rsid w:val="002F4EA9"/>
    <w:rsid w:val="002F6530"/>
    <w:rsid w:val="00302CFA"/>
    <w:rsid w:val="00303D8D"/>
    <w:rsid w:val="00304E07"/>
    <w:rsid w:val="003053E1"/>
    <w:rsid w:val="003122EE"/>
    <w:rsid w:val="003136C6"/>
    <w:rsid w:val="0031419C"/>
    <w:rsid w:val="0031789A"/>
    <w:rsid w:val="00320F11"/>
    <w:rsid w:val="00327B54"/>
    <w:rsid w:val="00330DFD"/>
    <w:rsid w:val="00334365"/>
    <w:rsid w:val="003359DD"/>
    <w:rsid w:val="00335FEA"/>
    <w:rsid w:val="0033711F"/>
    <w:rsid w:val="00341656"/>
    <w:rsid w:val="003435DE"/>
    <w:rsid w:val="00344C90"/>
    <w:rsid w:val="00344DBE"/>
    <w:rsid w:val="0034682C"/>
    <w:rsid w:val="00352B41"/>
    <w:rsid w:val="00352EE3"/>
    <w:rsid w:val="0036161D"/>
    <w:rsid w:val="00365C51"/>
    <w:rsid w:val="0036613F"/>
    <w:rsid w:val="0036723F"/>
    <w:rsid w:val="0036742E"/>
    <w:rsid w:val="003711DD"/>
    <w:rsid w:val="00372D64"/>
    <w:rsid w:val="00372DD5"/>
    <w:rsid w:val="00376DA1"/>
    <w:rsid w:val="00386C1A"/>
    <w:rsid w:val="003902C2"/>
    <w:rsid w:val="00394ED5"/>
    <w:rsid w:val="0039674D"/>
    <w:rsid w:val="003A77C8"/>
    <w:rsid w:val="003A7CBE"/>
    <w:rsid w:val="003C34B6"/>
    <w:rsid w:val="003C3A19"/>
    <w:rsid w:val="003D0718"/>
    <w:rsid w:val="003D3CFE"/>
    <w:rsid w:val="003D529C"/>
    <w:rsid w:val="003D5D8C"/>
    <w:rsid w:val="003D6335"/>
    <w:rsid w:val="003D797E"/>
    <w:rsid w:val="003D7FEF"/>
    <w:rsid w:val="003E3A1C"/>
    <w:rsid w:val="003E48B2"/>
    <w:rsid w:val="003E4CA0"/>
    <w:rsid w:val="003F1C8A"/>
    <w:rsid w:val="003F31BC"/>
    <w:rsid w:val="003F5311"/>
    <w:rsid w:val="003F64A6"/>
    <w:rsid w:val="003F69A0"/>
    <w:rsid w:val="00405132"/>
    <w:rsid w:val="004055A1"/>
    <w:rsid w:val="004062F8"/>
    <w:rsid w:val="00407871"/>
    <w:rsid w:val="00407FAC"/>
    <w:rsid w:val="004100CD"/>
    <w:rsid w:val="00412264"/>
    <w:rsid w:val="004144AB"/>
    <w:rsid w:val="004178B3"/>
    <w:rsid w:val="004205B8"/>
    <w:rsid w:val="00421D5D"/>
    <w:rsid w:val="004239EE"/>
    <w:rsid w:val="00424B0A"/>
    <w:rsid w:val="00424C16"/>
    <w:rsid w:val="0042521D"/>
    <w:rsid w:val="00431AA7"/>
    <w:rsid w:val="004363DE"/>
    <w:rsid w:val="00436E24"/>
    <w:rsid w:val="00440EF1"/>
    <w:rsid w:val="00444707"/>
    <w:rsid w:val="00444D14"/>
    <w:rsid w:val="00446773"/>
    <w:rsid w:val="00453300"/>
    <w:rsid w:val="004538BB"/>
    <w:rsid w:val="004540E4"/>
    <w:rsid w:val="00454B0B"/>
    <w:rsid w:val="004653E9"/>
    <w:rsid w:val="00470286"/>
    <w:rsid w:val="00470473"/>
    <w:rsid w:val="00483861"/>
    <w:rsid w:val="0048531D"/>
    <w:rsid w:val="0048654B"/>
    <w:rsid w:val="00487748"/>
    <w:rsid w:val="00492A16"/>
    <w:rsid w:val="00496216"/>
    <w:rsid w:val="00497467"/>
    <w:rsid w:val="004A13E4"/>
    <w:rsid w:val="004A2AC8"/>
    <w:rsid w:val="004A3A39"/>
    <w:rsid w:val="004A3E96"/>
    <w:rsid w:val="004A60B6"/>
    <w:rsid w:val="004B3F9D"/>
    <w:rsid w:val="004C1562"/>
    <w:rsid w:val="004C37D5"/>
    <w:rsid w:val="004C5514"/>
    <w:rsid w:val="004D1E8F"/>
    <w:rsid w:val="004D4FE0"/>
    <w:rsid w:val="004D767D"/>
    <w:rsid w:val="004E29F3"/>
    <w:rsid w:val="004E72EC"/>
    <w:rsid w:val="004F4181"/>
    <w:rsid w:val="004F44C9"/>
    <w:rsid w:val="004F49E7"/>
    <w:rsid w:val="004F4DC1"/>
    <w:rsid w:val="004F4DD5"/>
    <w:rsid w:val="00505DA6"/>
    <w:rsid w:val="00511623"/>
    <w:rsid w:val="00517176"/>
    <w:rsid w:val="00520136"/>
    <w:rsid w:val="00525E2E"/>
    <w:rsid w:val="00526B71"/>
    <w:rsid w:val="00526C87"/>
    <w:rsid w:val="00530760"/>
    <w:rsid w:val="005326FE"/>
    <w:rsid w:val="00534499"/>
    <w:rsid w:val="00534C5F"/>
    <w:rsid w:val="00536839"/>
    <w:rsid w:val="005424D2"/>
    <w:rsid w:val="00542E4E"/>
    <w:rsid w:val="00543959"/>
    <w:rsid w:val="00545E37"/>
    <w:rsid w:val="00545F1E"/>
    <w:rsid w:val="005469BE"/>
    <w:rsid w:val="005516FF"/>
    <w:rsid w:val="0055232F"/>
    <w:rsid w:val="00553039"/>
    <w:rsid w:val="00554DD9"/>
    <w:rsid w:val="005566BE"/>
    <w:rsid w:val="005567EB"/>
    <w:rsid w:val="00557B9E"/>
    <w:rsid w:val="00570A63"/>
    <w:rsid w:val="005735EF"/>
    <w:rsid w:val="005759C5"/>
    <w:rsid w:val="00576205"/>
    <w:rsid w:val="0058026E"/>
    <w:rsid w:val="00580E8A"/>
    <w:rsid w:val="00582F94"/>
    <w:rsid w:val="00586612"/>
    <w:rsid w:val="00590346"/>
    <w:rsid w:val="00590438"/>
    <w:rsid w:val="00590C03"/>
    <w:rsid w:val="00590C08"/>
    <w:rsid w:val="00591E26"/>
    <w:rsid w:val="0059396E"/>
    <w:rsid w:val="005A23CB"/>
    <w:rsid w:val="005A314C"/>
    <w:rsid w:val="005A66C3"/>
    <w:rsid w:val="005B2FB4"/>
    <w:rsid w:val="005B56C6"/>
    <w:rsid w:val="005B5F2E"/>
    <w:rsid w:val="005B6234"/>
    <w:rsid w:val="005C05CB"/>
    <w:rsid w:val="005C166B"/>
    <w:rsid w:val="005C549C"/>
    <w:rsid w:val="005C681B"/>
    <w:rsid w:val="005D0FF5"/>
    <w:rsid w:val="005D415C"/>
    <w:rsid w:val="005D4D4D"/>
    <w:rsid w:val="005D7AA8"/>
    <w:rsid w:val="005E224E"/>
    <w:rsid w:val="005E27C4"/>
    <w:rsid w:val="005E4AA5"/>
    <w:rsid w:val="005E5B83"/>
    <w:rsid w:val="005E6A45"/>
    <w:rsid w:val="005F0530"/>
    <w:rsid w:val="005F675D"/>
    <w:rsid w:val="00601FC8"/>
    <w:rsid w:val="00603641"/>
    <w:rsid w:val="00605183"/>
    <w:rsid w:val="006063CB"/>
    <w:rsid w:val="00607660"/>
    <w:rsid w:val="00612319"/>
    <w:rsid w:val="00612FF5"/>
    <w:rsid w:val="00626D41"/>
    <w:rsid w:val="0062741E"/>
    <w:rsid w:val="00630B6F"/>
    <w:rsid w:val="00631926"/>
    <w:rsid w:val="00636215"/>
    <w:rsid w:val="0064100D"/>
    <w:rsid w:val="00641820"/>
    <w:rsid w:val="00642A0D"/>
    <w:rsid w:val="006462DE"/>
    <w:rsid w:val="00647F61"/>
    <w:rsid w:val="00650403"/>
    <w:rsid w:val="00650531"/>
    <w:rsid w:val="0065665B"/>
    <w:rsid w:val="0065736C"/>
    <w:rsid w:val="00661DF7"/>
    <w:rsid w:val="00665B44"/>
    <w:rsid w:val="00667F58"/>
    <w:rsid w:val="006707AF"/>
    <w:rsid w:val="00670F87"/>
    <w:rsid w:val="00673A98"/>
    <w:rsid w:val="00673F5C"/>
    <w:rsid w:val="00674545"/>
    <w:rsid w:val="0067471C"/>
    <w:rsid w:val="00674950"/>
    <w:rsid w:val="00675CFF"/>
    <w:rsid w:val="00676566"/>
    <w:rsid w:val="00676876"/>
    <w:rsid w:val="00677623"/>
    <w:rsid w:val="00680104"/>
    <w:rsid w:val="006801C9"/>
    <w:rsid w:val="0068136B"/>
    <w:rsid w:val="006828B5"/>
    <w:rsid w:val="0068473A"/>
    <w:rsid w:val="00685B68"/>
    <w:rsid w:val="00686F1D"/>
    <w:rsid w:val="00687A6F"/>
    <w:rsid w:val="00687B4E"/>
    <w:rsid w:val="00691680"/>
    <w:rsid w:val="00693108"/>
    <w:rsid w:val="006934CA"/>
    <w:rsid w:val="00694B6B"/>
    <w:rsid w:val="006A488E"/>
    <w:rsid w:val="006A50F1"/>
    <w:rsid w:val="006B1E1E"/>
    <w:rsid w:val="006B3881"/>
    <w:rsid w:val="006B75A5"/>
    <w:rsid w:val="006B7C3D"/>
    <w:rsid w:val="006C0D1D"/>
    <w:rsid w:val="006C3BDB"/>
    <w:rsid w:val="006C4A70"/>
    <w:rsid w:val="006C4F64"/>
    <w:rsid w:val="006C611D"/>
    <w:rsid w:val="006C62E2"/>
    <w:rsid w:val="006C7545"/>
    <w:rsid w:val="006D038F"/>
    <w:rsid w:val="006D0B55"/>
    <w:rsid w:val="006D1BAA"/>
    <w:rsid w:val="006D58A8"/>
    <w:rsid w:val="006D5B43"/>
    <w:rsid w:val="006E1021"/>
    <w:rsid w:val="006E5232"/>
    <w:rsid w:val="006F2743"/>
    <w:rsid w:val="006F652F"/>
    <w:rsid w:val="006F7BD3"/>
    <w:rsid w:val="00700D7E"/>
    <w:rsid w:val="007045A2"/>
    <w:rsid w:val="007047A3"/>
    <w:rsid w:val="007050E8"/>
    <w:rsid w:val="00706F31"/>
    <w:rsid w:val="00707A09"/>
    <w:rsid w:val="00711D99"/>
    <w:rsid w:val="0071438A"/>
    <w:rsid w:val="00714980"/>
    <w:rsid w:val="0071783B"/>
    <w:rsid w:val="00726A57"/>
    <w:rsid w:val="00727000"/>
    <w:rsid w:val="0072766F"/>
    <w:rsid w:val="0073099B"/>
    <w:rsid w:val="00732547"/>
    <w:rsid w:val="00732E9C"/>
    <w:rsid w:val="007337E7"/>
    <w:rsid w:val="00734981"/>
    <w:rsid w:val="007375BC"/>
    <w:rsid w:val="00741DCE"/>
    <w:rsid w:val="00744853"/>
    <w:rsid w:val="007532CF"/>
    <w:rsid w:val="00762296"/>
    <w:rsid w:val="00762B1E"/>
    <w:rsid w:val="00763B17"/>
    <w:rsid w:val="00766AFB"/>
    <w:rsid w:val="00767969"/>
    <w:rsid w:val="00767B48"/>
    <w:rsid w:val="00772AC8"/>
    <w:rsid w:val="0077433E"/>
    <w:rsid w:val="007754C5"/>
    <w:rsid w:val="00776192"/>
    <w:rsid w:val="00781696"/>
    <w:rsid w:val="00781C00"/>
    <w:rsid w:val="00781D70"/>
    <w:rsid w:val="00782ED8"/>
    <w:rsid w:val="00784D94"/>
    <w:rsid w:val="007915A7"/>
    <w:rsid w:val="00797BC3"/>
    <w:rsid w:val="007A6757"/>
    <w:rsid w:val="007B14CB"/>
    <w:rsid w:val="007B319D"/>
    <w:rsid w:val="007B3487"/>
    <w:rsid w:val="007B6CB2"/>
    <w:rsid w:val="007B72C2"/>
    <w:rsid w:val="007B73BD"/>
    <w:rsid w:val="007C0E5E"/>
    <w:rsid w:val="007C39F8"/>
    <w:rsid w:val="007C57C8"/>
    <w:rsid w:val="007C7B54"/>
    <w:rsid w:val="007C7C4A"/>
    <w:rsid w:val="007D474C"/>
    <w:rsid w:val="007D48FB"/>
    <w:rsid w:val="007D4F5F"/>
    <w:rsid w:val="007E0D14"/>
    <w:rsid w:val="007E2FB0"/>
    <w:rsid w:val="007E3D3A"/>
    <w:rsid w:val="007E40F6"/>
    <w:rsid w:val="007E4B14"/>
    <w:rsid w:val="007E74EA"/>
    <w:rsid w:val="007F0283"/>
    <w:rsid w:val="007F07D3"/>
    <w:rsid w:val="007F0B30"/>
    <w:rsid w:val="007F0D63"/>
    <w:rsid w:val="007F73DE"/>
    <w:rsid w:val="007F7A79"/>
    <w:rsid w:val="007F7D5A"/>
    <w:rsid w:val="008005FB"/>
    <w:rsid w:val="00802278"/>
    <w:rsid w:val="008105DA"/>
    <w:rsid w:val="00820FE2"/>
    <w:rsid w:val="00822012"/>
    <w:rsid w:val="00832D70"/>
    <w:rsid w:val="008403FE"/>
    <w:rsid w:val="00842507"/>
    <w:rsid w:val="00844501"/>
    <w:rsid w:val="008446FA"/>
    <w:rsid w:val="0084499A"/>
    <w:rsid w:val="00854DAF"/>
    <w:rsid w:val="00856B73"/>
    <w:rsid w:val="00856BCE"/>
    <w:rsid w:val="00856C53"/>
    <w:rsid w:val="0086327C"/>
    <w:rsid w:val="00863D8F"/>
    <w:rsid w:val="008649BE"/>
    <w:rsid w:val="008710C7"/>
    <w:rsid w:val="00871205"/>
    <w:rsid w:val="00872EC4"/>
    <w:rsid w:val="0087319C"/>
    <w:rsid w:val="00873555"/>
    <w:rsid w:val="00874278"/>
    <w:rsid w:val="0088095A"/>
    <w:rsid w:val="00881E06"/>
    <w:rsid w:val="0088685E"/>
    <w:rsid w:val="00893187"/>
    <w:rsid w:val="008934CD"/>
    <w:rsid w:val="0089575E"/>
    <w:rsid w:val="008A1C5E"/>
    <w:rsid w:val="008A348C"/>
    <w:rsid w:val="008A44DD"/>
    <w:rsid w:val="008A4BBB"/>
    <w:rsid w:val="008A7B03"/>
    <w:rsid w:val="008A7BCE"/>
    <w:rsid w:val="008B23D1"/>
    <w:rsid w:val="008B3ED1"/>
    <w:rsid w:val="008B4719"/>
    <w:rsid w:val="008B5B0D"/>
    <w:rsid w:val="008C067C"/>
    <w:rsid w:val="008C7436"/>
    <w:rsid w:val="008D1743"/>
    <w:rsid w:val="008D1D45"/>
    <w:rsid w:val="008D1F42"/>
    <w:rsid w:val="008D3F01"/>
    <w:rsid w:val="008E31CE"/>
    <w:rsid w:val="008E4363"/>
    <w:rsid w:val="008E5EEA"/>
    <w:rsid w:val="008F001D"/>
    <w:rsid w:val="008F11EB"/>
    <w:rsid w:val="008F1AE3"/>
    <w:rsid w:val="008F3541"/>
    <w:rsid w:val="008F3779"/>
    <w:rsid w:val="008F4356"/>
    <w:rsid w:val="00903671"/>
    <w:rsid w:val="00903952"/>
    <w:rsid w:val="00905F65"/>
    <w:rsid w:val="00911486"/>
    <w:rsid w:val="009163D5"/>
    <w:rsid w:val="00917B9F"/>
    <w:rsid w:val="00920E2B"/>
    <w:rsid w:val="009221D7"/>
    <w:rsid w:val="00924C30"/>
    <w:rsid w:val="00926A35"/>
    <w:rsid w:val="00926FD7"/>
    <w:rsid w:val="00927524"/>
    <w:rsid w:val="009313AB"/>
    <w:rsid w:val="00932F07"/>
    <w:rsid w:val="0093469F"/>
    <w:rsid w:val="009360F3"/>
    <w:rsid w:val="00940ACA"/>
    <w:rsid w:val="00952CB6"/>
    <w:rsid w:val="00953A1B"/>
    <w:rsid w:val="00957425"/>
    <w:rsid w:val="00962BD9"/>
    <w:rsid w:val="0096530F"/>
    <w:rsid w:val="00971E99"/>
    <w:rsid w:val="00974045"/>
    <w:rsid w:val="00977F3B"/>
    <w:rsid w:val="009813F9"/>
    <w:rsid w:val="00982435"/>
    <w:rsid w:val="0098274D"/>
    <w:rsid w:val="0099044B"/>
    <w:rsid w:val="00990C78"/>
    <w:rsid w:val="00996347"/>
    <w:rsid w:val="009A0440"/>
    <w:rsid w:val="009A0FF7"/>
    <w:rsid w:val="009A1E46"/>
    <w:rsid w:val="009A2912"/>
    <w:rsid w:val="009A6FC5"/>
    <w:rsid w:val="009A799C"/>
    <w:rsid w:val="009B2C1B"/>
    <w:rsid w:val="009B36FF"/>
    <w:rsid w:val="009B4989"/>
    <w:rsid w:val="009B596D"/>
    <w:rsid w:val="009C0B57"/>
    <w:rsid w:val="009C1490"/>
    <w:rsid w:val="009C2834"/>
    <w:rsid w:val="009D524E"/>
    <w:rsid w:val="009D7C43"/>
    <w:rsid w:val="009E2792"/>
    <w:rsid w:val="009E5AA2"/>
    <w:rsid w:val="009E6E8C"/>
    <w:rsid w:val="009F05C6"/>
    <w:rsid w:val="009F7893"/>
    <w:rsid w:val="00A01098"/>
    <w:rsid w:val="00A01626"/>
    <w:rsid w:val="00A02017"/>
    <w:rsid w:val="00A02B31"/>
    <w:rsid w:val="00A06B6F"/>
    <w:rsid w:val="00A112BD"/>
    <w:rsid w:val="00A1365B"/>
    <w:rsid w:val="00A272DF"/>
    <w:rsid w:val="00A316C3"/>
    <w:rsid w:val="00A361D2"/>
    <w:rsid w:val="00A37A35"/>
    <w:rsid w:val="00A37A97"/>
    <w:rsid w:val="00A411CA"/>
    <w:rsid w:val="00A411D5"/>
    <w:rsid w:val="00A45E59"/>
    <w:rsid w:val="00A4602D"/>
    <w:rsid w:val="00A46A31"/>
    <w:rsid w:val="00A47AE0"/>
    <w:rsid w:val="00A53876"/>
    <w:rsid w:val="00A61C68"/>
    <w:rsid w:val="00A62D08"/>
    <w:rsid w:val="00A6536A"/>
    <w:rsid w:val="00A65684"/>
    <w:rsid w:val="00A65EE2"/>
    <w:rsid w:val="00A670BB"/>
    <w:rsid w:val="00A7005E"/>
    <w:rsid w:val="00A74E93"/>
    <w:rsid w:val="00A7582F"/>
    <w:rsid w:val="00A82E2D"/>
    <w:rsid w:val="00A871B3"/>
    <w:rsid w:val="00A87270"/>
    <w:rsid w:val="00A94207"/>
    <w:rsid w:val="00AA1BC3"/>
    <w:rsid w:val="00AA4D5D"/>
    <w:rsid w:val="00AB02A3"/>
    <w:rsid w:val="00AB654F"/>
    <w:rsid w:val="00AC0EE6"/>
    <w:rsid w:val="00AC2AC6"/>
    <w:rsid w:val="00AC3C1B"/>
    <w:rsid w:val="00AC4152"/>
    <w:rsid w:val="00AC4322"/>
    <w:rsid w:val="00AC7584"/>
    <w:rsid w:val="00AC78AD"/>
    <w:rsid w:val="00AD0EDF"/>
    <w:rsid w:val="00AD15C3"/>
    <w:rsid w:val="00AD1A33"/>
    <w:rsid w:val="00AE252A"/>
    <w:rsid w:val="00AE5AC7"/>
    <w:rsid w:val="00AE7151"/>
    <w:rsid w:val="00AE7D11"/>
    <w:rsid w:val="00AF1CE1"/>
    <w:rsid w:val="00AF2C81"/>
    <w:rsid w:val="00AF596C"/>
    <w:rsid w:val="00AF6665"/>
    <w:rsid w:val="00AF7456"/>
    <w:rsid w:val="00B01B60"/>
    <w:rsid w:val="00B03455"/>
    <w:rsid w:val="00B04D07"/>
    <w:rsid w:val="00B15CAD"/>
    <w:rsid w:val="00B231F4"/>
    <w:rsid w:val="00B2632D"/>
    <w:rsid w:val="00B3179E"/>
    <w:rsid w:val="00B32D06"/>
    <w:rsid w:val="00B353C8"/>
    <w:rsid w:val="00B35D30"/>
    <w:rsid w:val="00B3631C"/>
    <w:rsid w:val="00B403BC"/>
    <w:rsid w:val="00B464EA"/>
    <w:rsid w:val="00B550C8"/>
    <w:rsid w:val="00B6139B"/>
    <w:rsid w:val="00B614A5"/>
    <w:rsid w:val="00B619EE"/>
    <w:rsid w:val="00B653A7"/>
    <w:rsid w:val="00B66071"/>
    <w:rsid w:val="00B66175"/>
    <w:rsid w:val="00B707F4"/>
    <w:rsid w:val="00B75B78"/>
    <w:rsid w:val="00B76320"/>
    <w:rsid w:val="00B77077"/>
    <w:rsid w:val="00B806A4"/>
    <w:rsid w:val="00B90ACD"/>
    <w:rsid w:val="00B960FE"/>
    <w:rsid w:val="00B96AF6"/>
    <w:rsid w:val="00B96CB7"/>
    <w:rsid w:val="00B9743B"/>
    <w:rsid w:val="00BA5B9E"/>
    <w:rsid w:val="00BA6A02"/>
    <w:rsid w:val="00BB0D8C"/>
    <w:rsid w:val="00BC4B39"/>
    <w:rsid w:val="00BC7200"/>
    <w:rsid w:val="00BD13FC"/>
    <w:rsid w:val="00BD4ADA"/>
    <w:rsid w:val="00BD4CF2"/>
    <w:rsid w:val="00BD73AC"/>
    <w:rsid w:val="00BE634A"/>
    <w:rsid w:val="00BE7A8F"/>
    <w:rsid w:val="00BF1FD3"/>
    <w:rsid w:val="00BF2D1A"/>
    <w:rsid w:val="00BF2DE9"/>
    <w:rsid w:val="00BF70E7"/>
    <w:rsid w:val="00BF7C7E"/>
    <w:rsid w:val="00C013CF"/>
    <w:rsid w:val="00C01DA9"/>
    <w:rsid w:val="00C01E68"/>
    <w:rsid w:val="00C0345D"/>
    <w:rsid w:val="00C03998"/>
    <w:rsid w:val="00C05CF7"/>
    <w:rsid w:val="00C121D4"/>
    <w:rsid w:val="00C15D5C"/>
    <w:rsid w:val="00C228B6"/>
    <w:rsid w:val="00C30E1F"/>
    <w:rsid w:val="00C32662"/>
    <w:rsid w:val="00C34E28"/>
    <w:rsid w:val="00C357BB"/>
    <w:rsid w:val="00C404F8"/>
    <w:rsid w:val="00C41342"/>
    <w:rsid w:val="00C41854"/>
    <w:rsid w:val="00C4280C"/>
    <w:rsid w:val="00C506F1"/>
    <w:rsid w:val="00C51B7C"/>
    <w:rsid w:val="00C52DB8"/>
    <w:rsid w:val="00C53D81"/>
    <w:rsid w:val="00C624B7"/>
    <w:rsid w:val="00C673D3"/>
    <w:rsid w:val="00C71809"/>
    <w:rsid w:val="00C73A44"/>
    <w:rsid w:val="00C76FE3"/>
    <w:rsid w:val="00C80F4F"/>
    <w:rsid w:val="00C8119D"/>
    <w:rsid w:val="00C81570"/>
    <w:rsid w:val="00C829D6"/>
    <w:rsid w:val="00C84DA6"/>
    <w:rsid w:val="00C8750B"/>
    <w:rsid w:val="00C87669"/>
    <w:rsid w:val="00C904FC"/>
    <w:rsid w:val="00C910D9"/>
    <w:rsid w:val="00C913B4"/>
    <w:rsid w:val="00C91F0F"/>
    <w:rsid w:val="00C9200F"/>
    <w:rsid w:val="00C9358A"/>
    <w:rsid w:val="00C93EBE"/>
    <w:rsid w:val="00C93FBF"/>
    <w:rsid w:val="00C94EAF"/>
    <w:rsid w:val="00C96B6B"/>
    <w:rsid w:val="00CA04D6"/>
    <w:rsid w:val="00CA5577"/>
    <w:rsid w:val="00CA5FF7"/>
    <w:rsid w:val="00CA6EA6"/>
    <w:rsid w:val="00CA7FDE"/>
    <w:rsid w:val="00CB1CE4"/>
    <w:rsid w:val="00CB22C5"/>
    <w:rsid w:val="00CC36FD"/>
    <w:rsid w:val="00CC3DF4"/>
    <w:rsid w:val="00CC4EFD"/>
    <w:rsid w:val="00CC7672"/>
    <w:rsid w:val="00CC7C0E"/>
    <w:rsid w:val="00CD1A86"/>
    <w:rsid w:val="00CD634D"/>
    <w:rsid w:val="00CD6ECF"/>
    <w:rsid w:val="00CD7567"/>
    <w:rsid w:val="00CD7B79"/>
    <w:rsid w:val="00CE15FD"/>
    <w:rsid w:val="00CE2E3B"/>
    <w:rsid w:val="00CE50A2"/>
    <w:rsid w:val="00CE7B32"/>
    <w:rsid w:val="00CF2DB1"/>
    <w:rsid w:val="00D02F15"/>
    <w:rsid w:val="00D05DDD"/>
    <w:rsid w:val="00D10686"/>
    <w:rsid w:val="00D10BF3"/>
    <w:rsid w:val="00D1545C"/>
    <w:rsid w:val="00D2084F"/>
    <w:rsid w:val="00D224A5"/>
    <w:rsid w:val="00D30A4B"/>
    <w:rsid w:val="00D31B76"/>
    <w:rsid w:val="00D423C5"/>
    <w:rsid w:val="00D4306B"/>
    <w:rsid w:val="00D47506"/>
    <w:rsid w:val="00D47611"/>
    <w:rsid w:val="00D47C0D"/>
    <w:rsid w:val="00D52183"/>
    <w:rsid w:val="00D56436"/>
    <w:rsid w:val="00D63BA2"/>
    <w:rsid w:val="00D64549"/>
    <w:rsid w:val="00D64D97"/>
    <w:rsid w:val="00D67B28"/>
    <w:rsid w:val="00D714DE"/>
    <w:rsid w:val="00D733F2"/>
    <w:rsid w:val="00D75E5A"/>
    <w:rsid w:val="00D8264B"/>
    <w:rsid w:val="00D8356D"/>
    <w:rsid w:val="00D84C0A"/>
    <w:rsid w:val="00D86514"/>
    <w:rsid w:val="00D9043E"/>
    <w:rsid w:val="00D90CB1"/>
    <w:rsid w:val="00D94F54"/>
    <w:rsid w:val="00DA0D9F"/>
    <w:rsid w:val="00DA31D1"/>
    <w:rsid w:val="00DA36B7"/>
    <w:rsid w:val="00DA631E"/>
    <w:rsid w:val="00DA67AB"/>
    <w:rsid w:val="00DA732A"/>
    <w:rsid w:val="00DA7AD0"/>
    <w:rsid w:val="00DB063C"/>
    <w:rsid w:val="00DB2485"/>
    <w:rsid w:val="00DB44DF"/>
    <w:rsid w:val="00DB5C5A"/>
    <w:rsid w:val="00DB62A4"/>
    <w:rsid w:val="00DB7C6F"/>
    <w:rsid w:val="00DC0363"/>
    <w:rsid w:val="00DC04C5"/>
    <w:rsid w:val="00DC3647"/>
    <w:rsid w:val="00DC3884"/>
    <w:rsid w:val="00DC3E8D"/>
    <w:rsid w:val="00DC5D19"/>
    <w:rsid w:val="00DC62DA"/>
    <w:rsid w:val="00DC62E6"/>
    <w:rsid w:val="00DC6777"/>
    <w:rsid w:val="00DC7927"/>
    <w:rsid w:val="00DC7D91"/>
    <w:rsid w:val="00DE1151"/>
    <w:rsid w:val="00DE5299"/>
    <w:rsid w:val="00DF1808"/>
    <w:rsid w:val="00DF2E30"/>
    <w:rsid w:val="00DF2F56"/>
    <w:rsid w:val="00DF2FAA"/>
    <w:rsid w:val="00DF5CA1"/>
    <w:rsid w:val="00E01D0A"/>
    <w:rsid w:val="00E11F44"/>
    <w:rsid w:val="00E12F8A"/>
    <w:rsid w:val="00E21DDA"/>
    <w:rsid w:val="00E243A4"/>
    <w:rsid w:val="00E273BD"/>
    <w:rsid w:val="00E27741"/>
    <w:rsid w:val="00E31E70"/>
    <w:rsid w:val="00E346CB"/>
    <w:rsid w:val="00E35629"/>
    <w:rsid w:val="00E41A26"/>
    <w:rsid w:val="00E43793"/>
    <w:rsid w:val="00E43FB9"/>
    <w:rsid w:val="00E44AF1"/>
    <w:rsid w:val="00E44BA6"/>
    <w:rsid w:val="00E456C7"/>
    <w:rsid w:val="00E5263A"/>
    <w:rsid w:val="00E554D0"/>
    <w:rsid w:val="00E566A1"/>
    <w:rsid w:val="00E607ED"/>
    <w:rsid w:val="00E63E7D"/>
    <w:rsid w:val="00E70CF8"/>
    <w:rsid w:val="00E71903"/>
    <w:rsid w:val="00E719A3"/>
    <w:rsid w:val="00E762D3"/>
    <w:rsid w:val="00E77536"/>
    <w:rsid w:val="00E77677"/>
    <w:rsid w:val="00E8328D"/>
    <w:rsid w:val="00E832D0"/>
    <w:rsid w:val="00E86E7B"/>
    <w:rsid w:val="00E878C3"/>
    <w:rsid w:val="00E928A4"/>
    <w:rsid w:val="00E93B66"/>
    <w:rsid w:val="00E973E2"/>
    <w:rsid w:val="00E9785E"/>
    <w:rsid w:val="00EA2795"/>
    <w:rsid w:val="00EA2CC5"/>
    <w:rsid w:val="00EA30E4"/>
    <w:rsid w:val="00EA5B47"/>
    <w:rsid w:val="00EB04DE"/>
    <w:rsid w:val="00EB060E"/>
    <w:rsid w:val="00EB14B8"/>
    <w:rsid w:val="00EB2768"/>
    <w:rsid w:val="00EB2DCF"/>
    <w:rsid w:val="00EB3358"/>
    <w:rsid w:val="00EC0DCD"/>
    <w:rsid w:val="00EC191C"/>
    <w:rsid w:val="00EC1F3D"/>
    <w:rsid w:val="00EC26AA"/>
    <w:rsid w:val="00ED168B"/>
    <w:rsid w:val="00ED228E"/>
    <w:rsid w:val="00ED2D89"/>
    <w:rsid w:val="00EF06F2"/>
    <w:rsid w:val="00EF3DF1"/>
    <w:rsid w:val="00EF584F"/>
    <w:rsid w:val="00EF69B4"/>
    <w:rsid w:val="00F004FD"/>
    <w:rsid w:val="00F01306"/>
    <w:rsid w:val="00F02D9F"/>
    <w:rsid w:val="00F04B83"/>
    <w:rsid w:val="00F054E8"/>
    <w:rsid w:val="00F1183B"/>
    <w:rsid w:val="00F139A8"/>
    <w:rsid w:val="00F14C44"/>
    <w:rsid w:val="00F167BD"/>
    <w:rsid w:val="00F170C2"/>
    <w:rsid w:val="00F17C75"/>
    <w:rsid w:val="00F2000A"/>
    <w:rsid w:val="00F21171"/>
    <w:rsid w:val="00F216F3"/>
    <w:rsid w:val="00F30F38"/>
    <w:rsid w:val="00F322E5"/>
    <w:rsid w:val="00F340D6"/>
    <w:rsid w:val="00F35F96"/>
    <w:rsid w:val="00F40263"/>
    <w:rsid w:val="00F434BA"/>
    <w:rsid w:val="00F43B75"/>
    <w:rsid w:val="00F45780"/>
    <w:rsid w:val="00F45F46"/>
    <w:rsid w:val="00F612CD"/>
    <w:rsid w:val="00F61CA6"/>
    <w:rsid w:val="00F62246"/>
    <w:rsid w:val="00F64D0B"/>
    <w:rsid w:val="00F65A59"/>
    <w:rsid w:val="00F722B4"/>
    <w:rsid w:val="00F75360"/>
    <w:rsid w:val="00F75DE8"/>
    <w:rsid w:val="00F76F58"/>
    <w:rsid w:val="00F82298"/>
    <w:rsid w:val="00F82986"/>
    <w:rsid w:val="00F8599A"/>
    <w:rsid w:val="00F85FE3"/>
    <w:rsid w:val="00F96B0A"/>
    <w:rsid w:val="00F96EBE"/>
    <w:rsid w:val="00FA2C12"/>
    <w:rsid w:val="00FA5F76"/>
    <w:rsid w:val="00FA665A"/>
    <w:rsid w:val="00FA6EB4"/>
    <w:rsid w:val="00FB635B"/>
    <w:rsid w:val="00FC037C"/>
    <w:rsid w:val="00FC10AC"/>
    <w:rsid w:val="00FC1FE1"/>
    <w:rsid w:val="00FC399C"/>
    <w:rsid w:val="00FC408F"/>
    <w:rsid w:val="00FC775D"/>
    <w:rsid w:val="00FC7AFC"/>
    <w:rsid w:val="00FD312A"/>
    <w:rsid w:val="00FD39B4"/>
    <w:rsid w:val="00FD5682"/>
    <w:rsid w:val="00FE3098"/>
    <w:rsid w:val="00FE53D8"/>
    <w:rsid w:val="00FE5537"/>
    <w:rsid w:val="00FE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40AC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40AC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E2"/>
    <w:pPr>
      <w:ind w:left="720"/>
      <w:contextualSpacing/>
    </w:pPr>
  </w:style>
  <w:style w:type="paragraph" w:styleId="FootnoteText">
    <w:name w:val="footnote text"/>
    <w:basedOn w:val="Normal"/>
    <w:link w:val="FootnoteTextChar"/>
    <w:uiPriority w:val="99"/>
    <w:semiHidden/>
    <w:unhideWhenUsed/>
    <w:rsid w:val="00693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108"/>
    <w:rPr>
      <w:sz w:val="20"/>
      <w:szCs w:val="20"/>
    </w:rPr>
  </w:style>
  <w:style w:type="character" w:styleId="FootnoteReference">
    <w:name w:val="footnote reference"/>
    <w:basedOn w:val="DefaultParagraphFont"/>
    <w:uiPriority w:val="99"/>
    <w:semiHidden/>
    <w:unhideWhenUsed/>
    <w:rsid w:val="00693108"/>
    <w:rPr>
      <w:vertAlign w:val="superscript"/>
    </w:rPr>
  </w:style>
  <w:style w:type="paragraph" w:styleId="BalloonText">
    <w:name w:val="Balloon Text"/>
    <w:basedOn w:val="Normal"/>
    <w:link w:val="BalloonTextChar"/>
    <w:uiPriority w:val="99"/>
    <w:semiHidden/>
    <w:unhideWhenUsed/>
    <w:rsid w:val="00D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19"/>
    <w:rPr>
      <w:rFonts w:ascii="Tahoma" w:hAnsi="Tahoma" w:cs="Tahoma"/>
      <w:sz w:val="16"/>
      <w:szCs w:val="16"/>
    </w:rPr>
  </w:style>
  <w:style w:type="paragraph" w:styleId="Header">
    <w:name w:val="header"/>
    <w:basedOn w:val="Normal"/>
    <w:link w:val="HeaderChar"/>
    <w:uiPriority w:val="99"/>
    <w:unhideWhenUsed/>
    <w:rsid w:val="00DF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AA"/>
  </w:style>
  <w:style w:type="paragraph" w:styleId="Footer">
    <w:name w:val="footer"/>
    <w:basedOn w:val="Normal"/>
    <w:link w:val="FooterChar"/>
    <w:uiPriority w:val="99"/>
    <w:unhideWhenUsed/>
    <w:rsid w:val="00DF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AA"/>
  </w:style>
  <w:style w:type="character" w:customStyle="1" w:styleId="Heading1Char">
    <w:name w:val="Heading 1 Char"/>
    <w:basedOn w:val="DefaultParagraphFont"/>
    <w:link w:val="Heading1"/>
    <w:uiPriority w:val="9"/>
    <w:rsid w:val="00CC36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A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44501"/>
    <w:pPr>
      <w:outlineLvl w:val="9"/>
    </w:pPr>
    <w:rPr>
      <w:lang w:val="en-US" w:eastAsia="ja-JP"/>
    </w:rPr>
  </w:style>
  <w:style w:type="paragraph" w:styleId="TOC1">
    <w:name w:val="toc 1"/>
    <w:basedOn w:val="Normal"/>
    <w:next w:val="Normal"/>
    <w:autoRedefine/>
    <w:uiPriority w:val="39"/>
    <w:unhideWhenUsed/>
    <w:rsid w:val="00844501"/>
    <w:pPr>
      <w:spacing w:after="100"/>
    </w:pPr>
  </w:style>
  <w:style w:type="character" w:styleId="Hyperlink">
    <w:name w:val="Hyperlink"/>
    <w:basedOn w:val="DefaultParagraphFont"/>
    <w:uiPriority w:val="99"/>
    <w:unhideWhenUsed/>
    <w:rsid w:val="00844501"/>
    <w:rPr>
      <w:color w:val="0000FF" w:themeColor="hyperlink"/>
      <w:u w:val="single"/>
    </w:rPr>
  </w:style>
  <w:style w:type="character" w:styleId="PlaceholderText">
    <w:name w:val="Placeholder Text"/>
    <w:basedOn w:val="DefaultParagraphFont"/>
    <w:uiPriority w:val="99"/>
    <w:semiHidden/>
    <w:rsid w:val="00407871"/>
    <w:rPr>
      <w:color w:val="808080"/>
    </w:rPr>
  </w:style>
  <w:style w:type="table" w:customStyle="1" w:styleId="TableGrid1">
    <w:name w:val="Table Grid1"/>
    <w:basedOn w:val="TableNormal"/>
    <w:next w:val="TableGrid"/>
    <w:uiPriority w:val="59"/>
    <w:rsid w:val="00AF1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40AC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40ACA"/>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CC7C0E"/>
  </w:style>
  <w:style w:type="paragraph" w:customStyle="1" w:styleId="Pa3">
    <w:name w:val="Pa3"/>
    <w:basedOn w:val="Normal"/>
    <w:next w:val="Normal"/>
    <w:uiPriority w:val="99"/>
    <w:rsid w:val="007B73BD"/>
    <w:pPr>
      <w:autoSpaceDE w:val="0"/>
      <w:autoSpaceDN w:val="0"/>
      <w:adjustRightInd w:val="0"/>
      <w:spacing w:after="0" w:line="171" w:lineRule="atLeast"/>
    </w:pPr>
    <w:rPr>
      <w:rFonts w:ascii="Utopia Std" w:hAnsi="Utopia Std"/>
      <w:sz w:val="24"/>
      <w:szCs w:val="24"/>
    </w:rPr>
  </w:style>
  <w:style w:type="character" w:customStyle="1" w:styleId="A9">
    <w:name w:val="A9"/>
    <w:uiPriority w:val="99"/>
    <w:rsid w:val="007B73BD"/>
    <w:rPr>
      <w:rFonts w:cs="Utopia Std"/>
      <w:color w:val="000000"/>
      <w:sz w:val="15"/>
      <w:szCs w:val="15"/>
    </w:rPr>
  </w:style>
  <w:style w:type="character" w:customStyle="1" w:styleId="A10">
    <w:name w:val="A10"/>
    <w:uiPriority w:val="99"/>
    <w:rsid w:val="007B73BD"/>
    <w:rPr>
      <w:rFonts w:ascii="Meta Offc" w:hAnsi="Meta Offc" w:cs="Meta Offc"/>
      <w:b/>
      <w:bCs/>
      <w:color w:val="000000"/>
      <w:sz w:val="12"/>
      <w:szCs w:val="12"/>
    </w:rPr>
  </w:style>
  <w:style w:type="paragraph" w:styleId="NormalWeb">
    <w:name w:val="Normal (Web)"/>
    <w:basedOn w:val="Normal"/>
    <w:uiPriority w:val="99"/>
    <w:semiHidden/>
    <w:unhideWhenUsed/>
    <w:rsid w:val="00505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3EBE"/>
    <w:rPr>
      <w:sz w:val="16"/>
      <w:szCs w:val="16"/>
    </w:rPr>
  </w:style>
  <w:style w:type="paragraph" w:styleId="CommentText">
    <w:name w:val="annotation text"/>
    <w:basedOn w:val="Normal"/>
    <w:link w:val="CommentTextChar"/>
    <w:uiPriority w:val="99"/>
    <w:semiHidden/>
    <w:unhideWhenUsed/>
    <w:rsid w:val="00C93EBE"/>
    <w:pPr>
      <w:spacing w:line="240" w:lineRule="auto"/>
    </w:pPr>
    <w:rPr>
      <w:sz w:val="20"/>
      <w:szCs w:val="20"/>
    </w:rPr>
  </w:style>
  <w:style w:type="character" w:customStyle="1" w:styleId="CommentTextChar">
    <w:name w:val="Comment Text Char"/>
    <w:basedOn w:val="DefaultParagraphFont"/>
    <w:link w:val="CommentText"/>
    <w:uiPriority w:val="99"/>
    <w:semiHidden/>
    <w:rsid w:val="00C93EBE"/>
    <w:rPr>
      <w:sz w:val="20"/>
      <w:szCs w:val="20"/>
    </w:rPr>
  </w:style>
  <w:style w:type="paragraph" w:styleId="CommentSubject">
    <w:name w:val="annotation subject"/>
    <w:basedOn w:val="CommentText"/>
    <w:next w:val="CommentText"/>
    <w:link w:val="CommentSubjectChar"/>
    <w:uiPriority w:val="99"/>
    <w:semiHidden/>
    <w:unhideWhenUsed/>
    <w:rsid w:val="00C93EBE"/>
    <w:rPr>
      <w:b/>
      <w:bCs/>
    </w:rPr>
  </w:style>
  <w:style w:type="character" w:customStyle="1" w:styleId="CommentSubjectChar">
    <w:name w:val="Comment Subject Char"/>
    <w:basedOn w:val="CommentTextChar"/>
    <w:link w:val="CommentSubject"/>
    <w:uiPriority w:val="99"/>
    <w:semiHidden/>
    <w:rsid w:val="00C93E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40AC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40AC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E2"/>
    <w:pPr>
      <w:ind w:left="720"/>
      <w:contextualSpacing/>
    </w:pPr>
  </w:style>
  <w:style w:type="paragraph" w:styleId="FootnoteText">
    <w:name w:val="footnote text"/>
    <w:basedOn w:val="Normal"/>
    <w:link w:val="FootnoteTextChar"/>
    <w:uiPriority w:val="99"/>
    <w:semiHidden/>
    <w:unhideWhenUsed/>
    <w:rsid w:val="00693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108"/>
    <w:rPr>
      <w:sz w:val="20"/>
      <w:szCs w:val="20"/>
    </w:rPr>
  </w:style>
  <w:style w:type="character" w:styleId="FootnoteReference">
    <w:name w:val="footnote reference"/>
    <w:basedOn w:val="DefaultParagraphFont"/>
    <w:uiPriority w:val="99"/>
    <w:semiHidden/>
    <w:unhideWhenUsed/>
    <w:rsid w:val="00693108"/>
    <w:rPr>
      <w:vertAlign w:val="superscript"/>
    </w:rPr>
  </w:style>
  <w:style w:type="paragraph" w:styleId="BalloonText">
    <w:name w:val="Balloon Text"/>
    <w:basedOn w:val="Normal"/>
    <w:link w:val="BalloonTextChar"/>
    <w:uiPriority w:val="99"/>
    <w:semiHidden/>
    <w:unhideWhenUsed/>
    <w:rsid w:val="00D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19"/>
    <w:rPr>
      <w:rFonts w:ascii="Tahoma" w:hAnsi="Tahoma" w:cs="Tahoma"/>
      <w:sz w:val="16"/>
      <w:szCs w:val="16"/>
    </w:rPr>
  </w:style>
  <w:style w:type="paragraph" w:styleId="Header">
    <w:name w:val="header"/>
    <w:basedOn w:val="Normal"/>
    <w:link w:val="HeaderChar"/>
    <w:uiPriority w:val="99"/>
    <w:unhideWhenUsed/>
    <w:rsid w:val="00DF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AA"/>
  </w:style>
  <w:style w:type="paragraph" w:styleId="Footer">
    <w:name w:val="footer"/>
    <w:basedOn w:val="Normal"/>
    <w:link w:val="FooterChar"/>
    <w:uiPriority w:val="99"/>
    <w:unhideWhenUsed/>
    <w:rsid w:val="00DF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AA"/>
  </w:style>
  <w:style w:type="character" w:customStyle="1" w:styleId="Heading1Char">
    <w:name w:val="Heading 1 Char"/>
    <w:basedOn w:val="DefaultParagraphFont"/>
    <w:link w:val="Heading1"/>
    <w:uiPriority w:val="9"/>
    <w:rsid w:val="00CC36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A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44501"/>
    <w:pPr>
      <w:outlineLvl w:val="9"/>
    </w:pPr>
    <w:rPr>
      <w:lang w:val="en-US" w:eastAsia="ja-JP"/>
    </w:rPr>
  </w:style>
  <w:style w:type="paragraph" w:styleId="TOC1">
    <w:name w:val="toc 1"/>
    <w:basedOn w:val="Normal"/>
    <w:next w:val="Normal"/>
    <w:autoRedefine/>
    <w:uiPriority w:val="39"/>
    <w:unhideWhenUsed/>
    <w:rsid w:val="00844501"/>
    <w:pPr>
      <w:spacing w:after="100"/>
    </w:pPr>
  </w:style>
  <w:style w:type="character" w:styleId="Hyperlink">
    <w:name w:val="Hyperlink"/>
    <w:basedOn w:val="DefaultParagraphFont"/>
    <w:uiPriority w:val="99"/>
    <w:unhideWhenUsed/>
    <w:rsid w:val="00844501"/>
    <w:rPr>
      <w:color w:val="0000FF" w:themeColor="hyperlink"/>
      <w:u w:val="single"/>
    </w:rPr>
  </w:style>
  <w:style w:type="character" w:styleId="PlaceholderText">
    <w:name w:val="Placeholder Text"/>
    <w:basedOn w:val="DefaultParagraphFont"/>
    <w:uiPriority w:val="99"/>
    <w:semiHidden/>
    <w:rsid w:val="00407871"/>
    <w:rPr>
      <w:color w:val="808080"/>
    </w:rPr>
  </w:style>
  <w:style w:type="table" w:customStyle="1" w:styleId="TableGrid1">
    <w:name w:val="Table Grid1"/>
    <w:basedOn w:val="TableNormal"/>
    <w:next w:val="TableGrid"/>
    <w:uiPriority w:val="59"/>
    <w:rsid w:val="00AF1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40AC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40ACA"/>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CC7C0E"/>
  </w:style>
  <w:style w:type="paragraph" w:customStyle="1" w:styleId="Pa3">
    <w:name w:val="Pa3"/>
    <w:basedOn w:val="Normal"/>
    <w:next w:val="Normal"/>
    <w:uiPriority w:val="99"/>
    <w:rsid w:val="007B73BD"/>
    <w:pPr>
      <w:autoSpaceDE w:val="0"/>
      <w:autoSpaceDN w:val="0"/>
      <w:adjustRightInd w:val="0"/>
      <w:spacing w:after="0" w:line="171" w:lineRule="atLeast"/>
    </w:pPr>
    <w:rPr>
      <w:rFonts w:ascii="Utopia Std" w:hAnsi="Utopia Std"/>
      <w:sz w:val="24"/>
      <w:szCs w:val="24"/>
    </w:rPr>
  </w:style>
  <w:style w:type="character" w:customStyle="1" w:styleId="A9">
    <w:name w:val="A9"/>
    <w:uiPriority w:val="99"/>
    <w:rsid w:val="007B73BD"/>
    <w:rPr>
      <w:rFonts w:cs="Utopia Std"/>
      <w:color w:val="000000"/>
      <w:sz w:val="15"/>
      <w:szCs w:val="15"/>
    </w:rPr>
  </w:style>
  <w:style w:type="character" w:customStyle="1" w:styleId="A10">
    <w:name w:val="A10"/>
    <w:uiPriority w:val="99"/>
    <w:rsid w:val="007B73BD"/>
    <w:rPr>
      <w:rFonts w:ascii="Meta Offc" w:hAnsi="Meta Offc" w:cs="Meta Offc"/>
      <w:b/>
      <w:bCs/>
      <w:color w:val="000000"/>
      <w:sz w:val="12"/>
      <w:szCs w:val="12"/>
    </w:rPr>
  </w:style>
  <w:style w:type="paragraph" w:styleId="NormalWeb">
    <w:name w:val="Normal (Web)"/>
    <w:basedOn w:val="Normal"/>
    <w:uiPriority w:val="99"/>
    <w:semiHidden/>
    <w:unhideWhenUsed/>
    <w:rsid w:val="00505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3EBE"/>
    <w:rPr>
      <w:sz w:val="16"/>
      <w:szCs w:val="16"/>
    </w:rPr>
  </w:style>
  <w:style w:type="paragraph" w:styleId="CommentText">
    <w:name w:val="annotation text"/>
    <w:basedOn w:val="Normal"/>
    <w:link w:val="CommentTextChar"/>
    <w:uiPriority w:val="99"/>
    <w:semiHidden/>
    <w:unhideWhenUsed/>
    <w:rsid w:val="00C93EBE"/>
    <w:pPr>
      <w:spacing w:line="240" w:lineRule="auto"/>
    </w:pPr>
    <w:rPr>
      <w:sz w:val="20"/>
      <w:szCs w:val="20"/>
    </w:rPr>
  </w:style>
  <w:style w:type="character" w:customStyle="1" w:styleId="CommentTextChar">
    <w:name w:val="Comment Text Char"/>
    <w:basedOn w:val="DefaultParagraphFont"/>
    <w:link w:val="CommentText"/>
    <w:uiPriority w:val="99"/>
    <w:semiHidden/>
    <w:rsid w:val="00C93EBE"/>
    <w:rPr>
      <w:sz w:val="20"/>
      <w:szCs w:val="20"/>
    </w:rPr>
  </w:style>
  <w:style w:type="paragraph" w:styleId="CommentSubject">
    <w:name w:val="annotation subject"/>
    <w:basedOn w:val="CommentText"/>
    <w:next w:val="CommentText"/>
    <w:link w:val="CommentSubjectChar"/>
    <w:uiPriority w:val="99"/>
    <w:semiHidden/>
    <w:unhideWhenUsed/>
    <w:rsid w:val="00C93EBE"/>
    <w:rPr>
      <w:b/>
      <w:bCs/>
    </w:rPr>
  </w:style>
  <w:style w:type="character" w:customStyle="1" w:styleId="CommentSubjectChar">
    <w:name w:val="Comment Subject Char"/>
    <w:basedOn w:val="CommentTextChar"/>
    <w:link w:val="CommentSubject"/>
    <w:uiPriority w:val="99"/>
    <w:semiHidden/>
    <w:rsid w:val="00C93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229">
      <w:bodyDiv w:val="1"/>
      <w:marLeft w:val="0"/>
      <w:marRight w:val="0"/>
      <w:marTop w:val="0"/>
      <w:marBottom w:val="0"/>
      <w:divBdr>
        <w:top w:val="none" w:sz="0" w:space="0" w:color="auto"/>
        <w:left w:val="none" w:sz="0" w:space="0" w:color="auto"/>
        <w:bottom w:val="none" w:sz="0" w:space="0" w:color="auto"/>
        <w:right w:val="none" w:sz="0" w:space="0" w:color="auto"/>
      </w:divBdr>
    </w:div>
    <w:div w:id="152647461">
      <w:bodyDiv w:val="1"/>
      <w:marLeft w:val="0"/>
      <w:marRight w:val="0"/>
      <w:marTop w:val="0"/>
      <w:marBottom w:val="0"/>
      <w:divBdr>
        <w:top w:val="none" w:sz="0" w:space="0" w:color="auto"/>
        <w:left w:val="none" w:sz="0" w:space="0" w:color="auto"/>
        <w:bottom w:val="none" w:sz="0" w:space="0" w:color="auto"/>
        <w:right w:val="none" w:sz="0" w:space="0" w:color="auto"/>
      </w:divBdr>
    </w:div>
    <w:div w:id="653339381">
      <w:bodyDiv w:val="1"/>
      <w:marLeft w:val="0"/>
      <w:marRight w:val="0"/>
      <w:marTop w:val="0"/>
      <w:marBottom w:val="0"/>
      <w:divBdr>
        <w:top w:val="none" w:sz="0" w:space="0" w:color="auto"/>
        <w:left w:val="none" w:sz="0" w:space="0" w:color="auto"/>
        <w:bottom w:val="none" w:sz="0" w:space="0" w:color="auto"/>
        <w:right w:val="none" w:sz="0" w:space="0" w:color="auto"/>
      </w:divBdr>
    </w:div>
    <w:div w:id="886910516">
      <w:bodyDiv w:val="1"/>
      <w:marLeft w:val="0"/>
      <w:marRight w:val="0"/>
      <w:marTop w:val="0"/>
      <w:marBottom w:val="0"/>
      <w:divBdr>
        <w:top w:val="none" w:sz="0" w:space="0" w:color="auto"/>
        <w:left w:val="none" w:sz="0" w:space="0" w:color="auto"/>
        <w:bottom w:val="none" w:sz="0" w:space="0" w:color="auto"/>
        <w:right w:val="none" w:sz="0" w:space="0" w:color="auto"/>
      </w:divBdr>
    </w:div>
    <w:div w:id="1107581827">
      <w:bodyDiv w:val="1"/>
      <w:marLeft w:val="0"/>
      <w:marRight w:val="0"/>
      <w:marTop w:val="0"/>
      <w:marBottom w:val="0"/>
      <w:divBdr>
        <w:top w:val="none" w:sz="0" w:space="0" w:color="auto"/>
        <w:left w:val="none" w:sz="0" w:space="0" w:color="auto"/>
        <w:bottom w:val="none" w:sz="0" w:space="0" w:color="auto"/>
        <w:right w:val="none" w:sz="0" w:space="0" w:color="auto"/>
      </w:divBdr>
    </w:div>
    <w:div w:id="1353992770">
      <w:bodyDiv w:val="1"/>
      <w:marLeft w:val="0"/>
      <w:marRight w:val="0"/>
      <w:marTop w:val="0"/>
      <w:marBottom w:val="0"/>
      <w:divBdr>
        <w:top w:val="none" w:sz="0" w:space="0" w:color="auto"/>
        <w:left w:val="none" w:sz="0" w:space="0" w:color="auto"/>
        <w:bottom w:val="none" w:sz="0" w:space="0" w:color="auto"/>
        <w:right w:val="none" w:sz="0" w:space="0" w:color="auto"/>
      </w:divBdr>
    </w:div>
    <w:div w:id="1524781781">
      <w:bodyDiv w:val="1"/>
      <w:marLeft w:val="0"/>
      <w:marRight w:val="0"/>
      <w:marTop w:val="0"/>
      <w:marBottom w:val="0"/>
      <w:divBdr>
        <w:top w:val="none" w:sz="0" w:space="0" w:color="auto"/>
        <w:left w:val="none" w:sz="0" w:space="0" w:color="auto"/>
        <w:bottom w:val="none" w:sz="0" w:space="0" w:color="auto"/>
        <w:right w:val="none" w:sz="0" w:space="0" w:color="auto"/>
      </w:divBdr>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
    <w:div w:id="1742559233">
      <w:bodyDiv w:val="1"/>
      <w:marLeft w:val="0"/>
      <w:marRight w:val="0"/>
      <w:marTop w:val="0"/>
      <w:marBottom w:val="0"/>
      <w:divBdr>
        <w:top w:val="none" w:sz="0" w:space="0" w:color="auto"/>
        <w:left w:val="none" w:sz="0" w:space="0" w:color="auto"/>
        <w:bottom w:val="none" w:sz="0" w:space="0" w:color="auto"/>
        <w:right w:val="none" w:sz="0" w:space="0" w:color="auto"/>
      </w:divBdr>
    </w:div>
    <w:div w:id="1853254616">
      <w:bodyDiv w:val="1"/>
      <w:marLeft w:val="0"/>
      <w:marRight w:val="0"/>
      <w:marTop w:val="0"/>
      <w:marBottom w:val="0"/>
      <w:divBdr>
        <w:top w:val="none" w:sz="0" w:space="0" w:color="auto"/>
        <w:left w:val="none" w:sz="0" w:space="0" w:color="auto"/>
        <w:bottom w:val="none" w:sz="0" w:space="0" w:color="auto"/>
        <w:right w:val="none" w:sz="0" w:space="0" w:color="auto"/>
      </w:divBdr>
    </w:div>
    <w:div w:id="1892619244">
      <w:bodyDiv w:val="1"/>
      <w:marLeft w:val="0"/>
      <w:marRight w:val="0"/>
      <w:marTop w:val="0"/>
      <w:marBottom w:val="0"/>
      <w:divBdr>
        <w:top w:val="none" w:sz="0" w:space="0" w:color="auto"/>
        <w:left w:val="none" w:sz="0" w:space="0" w:color="auto"/>
        <w:bottom w:val="none" w:sz="0" w:space="0" w:color="auto"/>
        <w:right w:val="none" w:sz="0" w:space="0" w:color="auto"/>
      </w:divBdr>
    </w:div>
    <w:div w:id="1924727063">
      <w:bodyDiv w:val="1"/>
      <w:marLeft w:val="0"/>
      <w:marRight w:val="0"/>
      <w:marTop w:val="0"/>
      <w:marBottom w:val="0"/>
      <w:divBdr>
        <w:top w:val="none" w:sz="0" w:space="0" w:color="auto"/>
        <w:left w:val="none" w:sz="0" w:space="0" w:color="auto"/>
        <w:bottom w:val="none" w:sz="0" w:space="0" w:color="auto"/>
        <w:right w:val="none" w:sz="0" w:space="0" w:color="auto"/>
      </w:divBdr>
    </w:div>
    <w:div w:id="19472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mfsa.com.m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174:0001:0073: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8AC0-329A-470E-A9AC-A2742067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Nally Hennessy</dc:creator>
  <cp:lastModifiedBy>Clinton Paul Borg</cp:lastModifiedBy>
  <cp:revision>2</cp:revision>
  <cp:lastPrinted>2013-05-10T09:01:00Z</cp:lastPrinted>
  <dcterms:created xsi:type="dcterms:W3CDTF">2013-06-05T11:46:00Z</dcterms:created>
  <dcterms:modified xsi:type="dcterms:W3CDTF">2013-06-05T11:46:00Z</dcterms:modified>
</cp:coreProperties>
</file>