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72089043"/>
        <w:docPartObj>
          <w:docPartGallery w:val="Cover Pages"/>
          <w:docPartUnique/>
        </w:docPartObj>
      </w:sdtPr>
      <w:sdtEndPr>
        <w:rPr>
          <w:rFonts w:ascii="Times New Roman" w:eastAsia="Times New Roman" w:hAnsi="Times New Roman" w:cs="Times New Roman"/>
          <w:kern w:val="24"/>
        </w:rPr>
      </w:sdtEndPr>
      <w:sdtContent>
        <w:bookmarkStart w:id="0" w:name="_GoBack" w:displacedByCustomXml="prev"/>
        <w:bookmarkEnd w:id="0" w:displacedByCustomXml="prev"/>
        <w:p w:rsidR="00D1124F" w:rsidRDefault="00D1124F" w:rsidP="00D1124F">
          <w:pPr>
            <w:jc w:val="center"/>
          </w:pPr>
          <w:r w:rsidRPr="00C974DF">
            <w:rPr>
              <w:noProof/>
              <w:lang w:eastAsia="en-GB"/>
            </w:rPr>
            <w:drawing>
              <wp:inline distT="0" distB="0" distL="0" distR="0" wp14:anchorId="1FEDCAE8" wp14:editId="008DF7E2">
                <wp:extent cx="3350362" cy="664157"/>
                <wp:effectExtent l="0" t="0" r="2540" b="3175"/>
                <wp:docPr id="1" name="Picture 1" descr="MFSC - MFSA Logo1"/>
                <wp:cNvGraphicFramePr/>
                <a:graphic xmlns:a="http://schemas.openxmlformats.org/drawingml/2006/main">
                  <a:graphicData uri="http://schemas.openxmlformats.org/drawingml/2006/picture">
                    <pic:pic xmlns:pic="http://schemas.openxmlformats.org/drawingml/2006/picture">
                      <pic:nvPicPr>
                        <pic:cNvPr id="1" name="Picture 1" descr="MFSC - MFSA Logo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191" cy="679784"/>
                        </a:xfrm>
                        <a:prstGeom prst="rect">
                          <a:avLst/>
                        </a:prstGeom>
                        <a:noFill/>
                        <a:ln>
                          <a:noFill/>
                        </a:ln>
                      </pic:spPr>
                    </pic:pic>
                  </a:graphicData>
                </a:graphic>
              </wp:inline>
            </w:drawing>
          </w:r>
        </w:p>
        <w:p w:rsidR="00D1124F" w:rsidRDefault="00D1124F" w:rsidP="00D1124F">
          <w:pPr>
            <w:jc w:val="center"/>
          </w:pPr>
        </w:p>
        <w:p w:rsidR="00D1124F" w:rsidRDefault="00D1124F" w:rsidP="00D1124F">
          <w:pPr>
            <w:jc w:val="center"/>
          </w:pPr>
        </w:p>
        <w:p w:rsidR="00D1124F" w:rsidRDefault="00D1124F" w:rsidP="00D1124F">
          <w:pPr>
            <w:jc w:val="center"/>
          </w:pPr>
        </w:p>
        <w:p w:rsidR="00D1124F" w:rsidRPr="00C974DF" w:rsidRDefault="00D1124F" w:rsidP="00D1124F">
          <w:pPr>
            <w:jc w:val="center"/>
            <w:rPr>
              <w:rFonts w:ascii="Times New Roman" w:hAnsi="Times New Roman" w:cs="Times New Roman"/>
              <w:b/>
              <w:smallCaps/>
              <w:sz w:val="40"/>
              <w:szCs w:val="40"/>
            </w:rPr>
          </w:pPr>
          <w:r w:rsidRPr="00C974DF">
            <w:rPr>
              <w:rFonts w:ascii="Times New Roman" w:hAnsi="Times New Roman" w:cs="Times New Roman"/>
              <w:b/>
              <w:smallCaps/>
              <w:sz w:val="40"/>
              <w:szCs w:val="40"/>
            </w:rPr>
            <w:t xml:space="preserve">Investment Services Rules for </w:t>
          </w:r>
        </w:p>
        <w:p w:rsidR="00D1124F" w:rsidRDefault="00D1124F" w:rsidP="00D1124F">
          <w:pPr>
            <w:jc w:val="center"/>
            <w:rPr>
              <w:rFonts w:ascii="Times New Roman" w:hAnsi="Times New Roman" w:cs="Times New Roman"/>
              <w:b/>
              <w:smallCaps/>
              <w:sz w:val="40"/>
              <w:szCs w:val="40"/>
            </w:rPr>
          </w:pPr>
          <w:r>
            <w:rPr>
              <w:rFonts w:ascii="Times New Roman" w:hAnsi="Times New Roman" w:cs="Times New Roman"/>
              <w:b/>
              <w:smallCaps/>
              <w:sz w:val="40"/>
              <w:szCs w:val="40"/>
            </w:rPr>
            <w:t>Alternative Investment Funds</w:t>
          </w:r>
        </w:p>
        <w:p w:rsidR="00496921" w:rsidRDefault="00496921" w:rsidP="00D1124F">
          <w:pPr>
            <w:jc w:val="center"/>
            <w:rPr>
              <w:rFonts w:ascii="Times New Roman" w:hAnsi="Times New Roman" w:cs="Times New Roman"/>
              <w:b/>
              <w:smallCaps/>
              <w:sz w:val="40"/>
              <w:szCs w:val="40"/>
            </w:rPr>
          </w:pPr>
        </w:p>
        <w:p w:rsidR="00496921" w:rsidRDefault="00496921" w:rsidP="00D1124F">
          <w:pPr>
            <w:jc w:val="center"/>
            <w:rPr>
              <w:rFonts w:ascii="Times New Roman" w:hAnsi="Times New Roman" w:cs="Times New Roman"/>
              <w:b/>
              <w:smallCaps/>
              <w:sz w:val="40"/>
              <w:szCs w:val="40"/>
            </w:rPr>
          </w:pPr>
          <w:r>
            <w:rPr>
              <w:rFonts w:ascii="Times New Roman" w:hAnsi="Times New Roman" w:cs="Times New Roman"/>
              <w:b/>
              <w:smallCaps/>
              <w:sz w:val="40"/>
              <w:szCs w:val="40"/>
            </w:rPr>
            <w:pict>
              <v:rect id="_x0000_i1025" style="width:0;height:1.5pt" o:hralign="center" o:hrstd="t" o:hr="t" fillcolor="#a0a0a0" stroked="f"/>
            </w:pict>
          </w:r>
        </w:p>
        <w:p w:rsidR="00496921" w:rsidRDefault="00496921" w:rsidP="00D1124F">
          <w:pPr>
            <w:jc w:val="center"/>
            <w:rPr>
              <w:rFonts w:ascii="Times New Roman Bold" w:hAnsi="Times New Roman Bold" w:cs="Times New Roman"/>
              <w:b/>
              <w:sz w:val="40"/>
              <w:szCs w:val="40"/>
            </w:rPr>
          </w:pPr>
          <w:r>
            <w:rPr>
              <w:rFonts w:ascii="Times New Roman Bold" w:hAnsi="Times New Roman Bold" w:cs="Times New Roman"/>
              <w:b/>
              <w:sz w:val="40"/>
              <w:szCs w:val="40"/>
            </w:rPr>
            <w:t xml:space="preserve">Checklist </w:t>
          </w:r>
        </w:p>
        <w:p w:rsidR="00496921" w:rsidRDefault="00496921" w:rsidP="00D1124F">
          <w:pPr>
            <w:jc w:val="center"/>
            <w:rPr>
              <w:rFonts w:ascii="Times New Roman Bold" w:hAnsi="Times New Roman Bold" w:cs="Times New Roman"/>
              <w:b/>
              <w:sz w:val="40"/>
              <w:szCs w:val="40"/>
            </w:rPr>
          </w:pPr>
          <w:r>
            <w:rPr>
              <w:rFonts w:ascii="Times New Roman Bold" w:hAnsi="Times New Roman Bold" w:cs="Times New Roman"/>
              <w:b/>
              <w:sz w:val="40"/>
              <w:szCs w:val="40"/>
            </w:rPr>
            <w:t>Offering Memorandum &amp; Offering Supplements</w:t>
          </w:r>
        </w:p>
        <w:p w:rsidR="00496921" w:rsidRDefault="00496921" w:rsidP="00D1124F">
          <w:pPr>
            <w:jc w:val="center"/>
            <w:rPr>
              <w:rFonts w:ascii="Times New Roman" w:hAnsi="Times New Roman" w:cs="Times New Roman"/>
              <w:b/>
              <w:smallCaps/>
              <w:sz w:val="40"/>
              <w:szCs w:val="40"/>
            </w:rPr>
          </w:pPr>
          <w:r>
            <w:rPr>
              <w:rFonts w:ascii="Times New Roman" w:hAnsi="Times New Roman" w:cs="Times New Roman"/>
              <w:b/>
              <w:smallCaps/>
              <w:sz w:val="40"/>
              <w:szCs w:val="40"/>
            </w:rPr>
            <w:pict>
              <v:rect id="_x0000_i1026" style="width:0;height:1.5pt" o:hralign="center" o:hrstd="t" o:hr="t" fillcolor="#a0a0a0" stroked="f"/>
            </w:pict>
          </w:r>
        </w:p>
        <w:p w:rsidR="00496921" w:rsidRDefault="00496921" w:rsidP="00D1124F">
          <w:pPr>
            <w:jc w:val="center"/>
            <w:rPr>
              <w:rFonts w:ascii="Times New Roman" w:hAnsi="Times New Roman" w:cs="Times New Roman"/>
              <w:b/>
              <w:smallCaps/>
              <w:sz w:val="40"/>
              <w:szCs w:val="40"/>
            </w:rPr>
          </w:pPr>
        </w:p>
        <w:p w:rsidR="00496921" w:rsidRDefault="00496921" w:rsidP="00D1124F">
          <w:pPr>
            <w:jc w:val="center"/>
            <w:rPr>
              <w:rFonts w:ascii="Times New Roman" w:hAnsi="Times New Roman" w:cs="Times New Roman"/>
              <w:b/>
              <w:smallCaps/>
              <w:sz w:val="40"/>
              <w:szCs w:val="40"/>
            </w:rPr>
          </w:pPr>
        </w:p>
        <w:p w:rsidR="00496921" w:rsidRDefault="00496921" w:rsidP="00D1124F">
          <w:pPr>
            <w:jc w:val="center"/>
            <w:rPr>
              <w:rFonts w:ascii="Times New Roman" w:hAnsi="Times New Roman" w:cs="Times New Roman"/>
              <w:b/>
              <w:smallCaps/>
              <w:sz w:val="40"/>
              <w:szCs w:val="40"/>
            </w:rPr>
          </w:pPr>
        </w:p>
        <w:p w:rsidR="00496921" w:rsidRDefault="00496921" w:rsidP="00D1124F">
          <w:pPr>
            <w:jc w:val="center"/>
            <w:rPr>
              <w:rFonts w:ascii="Times New Roman" w:hAnsi="Times New Roman" w:cs="Times New Roman"/>
              <w:b/>
              <w:smallCaps/>
              <w:sz w:val="40"/>
              <w:szCs w:val="40"/>
            </w:rPr>
          </w:pPr>
        </w:p>
        <w:p w:rsidR="00496921" w:rsidRDefault="00496921" w:rsidP="00D1124F">
          <w:pPr>
            <w:jc w:val="center"/>
            <w:rPr>
              <w:rFonts w:ascii="Times New Roman" w:hAnsi="Times New Roman" w:cs="Times New Roman"/>
              <w:b/>
              <w:smallCaps/>
              <w:sz w:val="40"/>
              <w:szCs w:val="40"/>
            </w:rPr>
          </w:pPr>
        </w:p>
        <w:p w:rsidR="00496921" w:rsidRDefault="00496921" w:rsidP="00D1124F">
          <w:pPr>
            <w:jc w:val="center"/>
            <w:rPr>
              <w:rFonts w:ascii="Times New Roman" w:hAnsi="Times New Roman" w:cs="Times New Roman"/>
              <w:b/>
              <w:smallCaps/>
              <w:sz w:val="40"/>
              <w:szCs w:val="40"/>
            </w:rPr>
          </w:pPr>
        </w:p>
        <w:tbl>
          <w:tblPr>
            <w:tblStyle w:val="TableGrid"/>
            <w:tblW w:w="0" w:type="auto"/>
            <w:tblLook w:val="04A0" w:firstRow="1" w:lastRow="0" w:firstColumn="1" w:lastColumn="0" w:noHBand="0" w:noVBand="1"/>
          </w:tblPr>
          <w:tblGrid>
            <w:gridCol w:w="2346"/>
            <w:gridCol w:w="6670"/>
          </w:tblGrid>
          <w:tr w:rsidR="00496921" w:rsidRPr="00C974DF" w:rsidTr="00090B9F">
            <w:tc>
              <w:tcPr>
                <w:tcW w:w="2376" w:type="dxa"/>
              </w:tcPr>
              <w:p w:rsidR="00496921" w:rsidRPr="00C974DF" w:rsidRDefault="00496921" w:rsidP="00090B9F">
                <w:pPr>
                  <w:jc w:val="both"/>
                  <w:rPr>
                    <w:rFonts w:ascii="Times New Roman Bold" w:hAnsi="Times New Roman Bold" w:cs="Times New Roman"/>
                    <w:b/>
                    <w:sz w:val="24"/>
                    <w:szCs w:val="24"/>
                  </w:rPr>
                </w:pPr>
                <w:r w:rsidRPr="00C974DF">
                  <w:rPr>
                    <w:rFonts w:ascii="Times New Roman Bold" w:hAnsi="Times New Roman Bold" w:cs="Times New Roman"/>
                    <w:b/>
                    <w:sz w:val="24"/>
                    <w:szCs w:val="24"/>
                  </w:rPr>
                  <w:t>Name of applicant</w:t>
                </w:r>
              </w:p>
            </w:tc>
            <w:tc>
              <w:tcPr>
                <w:tcW w:w="6866" w:type="dxa"/>
              </w:tcPr>
              <w:p w:rsidR="00496921" w:rsidRPr="00C974DF" w:rsidRDefault="00496921" w:rsidP="00090B9F">
                <w:pPr>
                  <w:rPr>
                    <w:rFonts w:ascii="Times New Roman Bold" w:hAnsi="Times New Roman Bold" w:cs="Times New Roman"/>
                    <w:b/>
                    <w:sz w:val="40"/>
                    <w:szCs w:val="40"/>
                  </w:rPr>
                </w:pPr>
              </w:p>
            </w:tc>
          </w:tr>
          <w:tr w:rsidR="00496921" w:rsidRPr="00C974DF" w:rsidTr="00090B9F">
            <w:tc>
              <w:tcPr>
                <w:tcW w:w="2376" w:type="dxa"/>
              </w:tcPr>
              <w:p w:rsidR="00496921" w:rsidRPr="00C974DF" w:rsidRDefault="00496921" w:rsidP="00496921">
                <w:pPr>
                  <w:jc w:val="both"/>
                  <w:rPr>
                    <w:rFonts w:ascii="Times New Roman Bold" w:hAnsi="Times New Roman Bold" w:cs="Times New Roman"/>
                    <w:b/>
                    <w:sz w:val="24"/>
                    <w:szCs w:val="24"/>
                  </w:rPr>
                </w:pPr>
                <w:r w:rsidRPr="00C974DF">
                  <w:rPr>
                    <w:rFonts w:ascii="Times New Roman Bold" w:hAnsi="Times New Roman Bold" w:cs="Times New Roman"/>
                    <w:b/>
                    <w:sz w:val="24"/>
                    <w:szCs w:val="24"/>
                  </w:rPr>
                  <w:t xml:space="preserve">Date of submission of </w:t>
                </w:r>
                <w:r>
                  <w:rPr>
                    <w:rFonts w:ascii="Times New Roman Bold" w:hAnsi="Times New Roman Bold" w:cs="Times New Roman"/>
                    <w:b/>
                    <w:sz w:val="24"/>
                    <w:szCs w:val="24"/>
                  </w:rPr>
                  <w:t>checklist</w:t>
                </w:r>
              </w:p>
            </w:tc>
            <w:tc>
              <w:tcPr>
                <w:tcW w:w="6866" w:type="dxa"/>
              </w:tcPr>
              <w:p w:rsidR="00496921" w:rsidRPr="00C974DF" w:rsidRDefault="00496921" w:rsidP="00090B9F">
                <w:pPr>
                  <w:rPr>
                    <w:rFonts w:ascii="Times New Roman Bold" w:hAnsi="Times New Roman Bold" w:cs="Times New Roman"/>
                    <w:sz w:val="24"/>
                    <w:szCs w:val="24"/>
                  </w:rPr>
                </w:pPr>
                <w:r w:rsidRPr="00C974DF">
                  <w:rPr>
                    <w:rFonts w:ascii="Times New Roman Bold" w:hAnsi="Times New Roman Bold" w:cs="Times New Roman"/>
                    <w:sz w:val="24"/>
                    <w:szCs w:val="24"/>
                  </w:rPr>
                  <w:fldChar w:fldCharType="begin"/>
                </w:r>
                <w:r w:rsidRPr="00C974DF">
                  <w:rPr>
                    <w:rFonts w:ascii="Times New Roman" w:hAnsi="Times New Roman" w:cs="Times New Roman"/>
                    <w:sz w:val="24"/>
                    <w:szCs w:val="24"/>
                  </w:rPr>
                  <w:instrText xml:space="preserve"> DATE \@ "dd MMMM yyyy" </w:instrText>
                </w:r>
                <w:r w:rsidRPr="00C974DF">
                  <w:rPr>
                    <w:rFonts w:ascii="Times New Roman Bold" w:hAnsi="Times New Roman Bold" w:cs="Times New Roman"/>
                    <w:sz w:val="24"/>
                    <w:szCs w:val="24"/>
                  </w:rPr>
                  <w:fldChar w:fldCharType="separate"/>
                </w:r>
                <w:r w:rsidRPr="00C974DF">
                  <w:rPr>
                    <w:rFonts w:ascii="Times New Roman Bold" w:hAnsi="Times New Roman Bold" w:cs="Times New Roman"/>
                    <w:sz w:val="24"/>
                    <w:szCs w:val="24"/>
                  </w:rPr>
                  <w:fldChar w:fldCharType="end"/>
                </w:r>
              </w:p>
            </w:tc>
          </w:tr>
        </w:tbl>
        <w:p w:rsidR="00D1124F" w:rsidRDefault="00D1124F" w:rsidP="00D1124F">
          <w:pPr>
            <w:rPr>
              <w:rFonts w:ascii="Times New Roman" w:eastAsia="Times New Roman" w:hAnsi="Times New Roman" w:cs="Times New Roman"/>
              <w:kern w:val="24"/>
            </w:rPr>
          </w:pPr>
        </w:p>
      </w:sdtContent>
    </w:sdt>
    <w:p w:rsidR="00D1124F" w:rsidRPr="00614814" w:rsidRDefault="00D1124F" w:rsidP="00D1124F">
      <w:pPr>
        <w:spacing w:after="0" w:line="240" w:lineRule="auto"/>
        <w:jc w:val="both"/>
        <w:rPr>
          <w:rFonts w:ascii="Times New Roman" w:eastAsia="Times New Roman" w:hAnsi="Times New Roman" w:cs="Times New Roman"/>
          <w:kern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7"/>
        <w:gridCol w:w="1266"/>
        <w:gridCol w:w="1443"/>
      </w:tblGrid>
      <w:tr w:rsidR="00D1124F" w:rsidRPr="00614814" w:rsidTr="00D1124F">
        <w:tc>
          <w:tcPr>
            <w:tcW w:w="6147"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r w:rsidRPr="00614814">
              <w:rPr>
                <w:rFonts w:ascii="Times New Roman" w:eastAsia="Times New Roman" w:hAnsi="Times New Roman" w:cs="Times New Roman"/>
                <w:b/>
                <w:smallCaps/>
                <w:kern w:val="24"/>
              </w:rPr>
              <w:t>Page</w:t>
            </w: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r w:rsidRPr="00614814">
              <w:rPr>
                <w:rFonts w:ascii="Times New Roman" w:eastAsia="Times New Roman" w:hAnsi="Times New Roman" w:cs="Times New Roman"/>
                <w:b/>
                <w:smallCaps/>
                <w:kern w:val="24"/>
              </w:rPr>
              <w:t>MFSA Comments</w:t>
            </w: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b/>
                <w:smallCaps/>
                <w:kern w:val="24"/>
              </w:rPr>
              <w:t>Information Concerning the scheme</w:t>
            </w:r>
          </w:p>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smallCaps/>
                <w:kern w:val="24"/>
              </w:rPr>
            </w:pPr>
            <w:r w:rsidRPr="00614814">
              <w:rPr>
                <w:rFonts w:ascii="Times New Roman" w:eastAsia="Times New Roman" w:hAnsi="Times New Roman" w:cs="Times New Roman"/>
                <w:kern w:val="24"/>
              </w:rPr>
              <w:t xml:space="preserve">Where the scheme shall be made available </w:t>
            </w:r>
            <w:r w:rsidRPr="00614814">
              <w:rPr>
                <w:rFonts w:ascii="Times New Roman" w:eastAsia="Times New Roman" w:hAnsi="Times New Roman" w:cs="Times New Roman"/>
                <w:kern w:val="24"/>
                <w:u w:val="single"/>
              </w:rPr>
              <w:t>only to professional investors,</w:t>
            </w:r>
            <w:r w:rsidRPr="00614814">
              <w:rPr>
                <w:rFonts w:ascii="Times New Roman" w:eastAsia="Times New Roman" w:hAnsi="Times New Roman" w:cs="Times New Roman"/>
                <w:kern w:val="24"/>
              </w:rPr>
              <w:t xml:space="preserve"> the following statements shall be inserted in a prominent position in bold in a font whose pitch is at least 12:</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“[name of the FUND] is licensed by the Malta Financial Services Authority (“MFSA”) as an Alternative Investment Fund which is available to Professional Investors.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“This Alternative Investor Fund is a Non–Retail Scheme. Therefore, the protection normally arising as a result of the imposition of the MFSA’s investment and borrowing restrictions and other requirements for retail schemes do not apply.”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“The MFSA has made no assessment or value judgment on the soundness of the fund or for the accuracy or completeness of statements made or opinions expressed with regard to it.”.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kern w:val="24"/>
              </w:rPr>
              <w:t>“</w:t>
            </w:r>
            <w:r w:rsidRPr="00614814">
              <w:rPr>
                <w:rFonts w:ascii="Times New Roman" w:eastAsia="Times New Roman" w:hAnsi="Times New Roman" w:cs="Times New Roman"/>
                <w:b/>
                <w:kern w:val="24"/>
              </w:rPr>
              <w:t>The authorisation of the [name of the Fund] is not tantamount to an endorsement of the Fund by the MFSA nor is the MFSA responsible for the contents of this Offering Memorandum.”</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Where the scheme shall be made available </w:t>
            </w:r>
            <w:r w:rsidRPr="00614814">
              <w:rPr>
                <w:rFonts w:ascii="Times New Roman" w:eastAsia="Times New Roman" w:hAnsi="Times New Roman" w:cs="Times New Roman"/>
                <w:kern w:val="24"/>
                <w:u w:val="single"/>
              </w:rPr>
              <w:t>only to qualifying investors,</w:t>
            </w:r>
            <w:r w:rsidRPr="00614814">
              <w:rPr>
                <w:rFonts w:ascii="Times New Roman" w:eastAsia="Times New Roman" w:hAnsi="Times New Roman" w:cs="Times New Roman"/>
                <w:kern w:val="24"/>
              </w:rPr>
              <w:t xml:space="preserve"> the following statements shall be inserted in a prominent position in bold in a font whose pitch is at least 12:</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“[name of the FUND] is licensed by the Malta Financial Services Authority (“MFSA”) as an Alternative Investment Fund whose investors may comprise Qualifying Investors, and fulfils any additional conditions prescribed by the Authority in relation to Schemes sold to Qualifying Investors.”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“The protection normally arising as a result of the imposition of the MFSA’s investment and borrowing restrictions and other requirements for retail schemes do not apply for this fund.”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“This fund may only be marketed outside Malta to Professional Investors as defined in the AIFM Directive. The marketing of the fund to an investor who is not a Professional Investor as defined in the AIFM Directive may only be undertaken if allowed by the respective jurisdiction and subject to the national provisions applicable in the respective jurisdiction as prescribed in Article 43 AIFMD.”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 xml:space="preserve">“The MFSA has made no assessment or value judgment on the soundness of the fund or for the accuracy or completeness of statements made or opinions expressed with regard to it.”.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kern w:val="24"/>
              </w:rPr>
              <w:t>“</w:t>
            </w:r>
            <w:r w:rsidRPr="00614814">
              <w:rPr>
                <w:rFonts w:ascii="Times New Roman" w:eastAsia="Times New Roman" w:hAnsi="Times New Roman" w:cs="Times New Roman"/>
                <w:b/>
                <w:kern w:val="24"/>
              </w:rPr>
              <w:t>The authorisation of the [name of the Fund] is not tantamount to an endorsement of the Fund by the MFSA nor is the MFSA responsible for the contents of this Offering Memorandum.”</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b/>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kern w:val="24"/>
              </w:rPr>
              <w:t>Name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Date of establishment of the scheme;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Duration of the scheme, where limited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Form in law (must be stated on the cover page)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8"/>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SICAV</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8"/>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INVCO</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8"/>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Unit Trust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8"/>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Incorporated Cell Company/ Incorporated Cell of an Incorporated Cell Company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8"/>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Incorporated Cell of a Recognised Incorporated Cell Company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8"/>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Contractual Fund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8"/>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Limited Partnership</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 xml:space="preserve">Where the scheme is a self-managed scheme, include a reference to the self-managed nature of the scheme.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Registered office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Declaration indicating the persons who are accepting responsibility for the contents of the offering memorandum (e.g. Directors in the case of a SICAV/INVCO)</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whether the scheme will be establishing any sub-funds with single or multiple classes of shares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 the case of an umbrella scheme, a declaration that new sub-funds require the prior approval of the MFSA;</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Where the scheme is established as a SICAV in terms of the Companies Act (Investment Companies with Variable Share Capital) Regulations, information on whether the scheme has elected to have the assets and liabilities of each sub-fund comprised in the company treated for all intents and purposes as a patrimony separate from the assets and liabilities of each other sub-fund of such company.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base currency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Accounting currency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Name and address of the auditor</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Name and address of the legal advisors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Name and address of the tax advisors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Where applicable the regulated market on which the units of the Scheme will be listed or dealt in.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86C18" w:rsidRDefault="00D1124F" w:rsidP="00496921">
            <w:pPr>
              <w:numPr>
                <w:ilvl w:val="0"/>
                <w:numId w:val="1"/>
              </w:numPr>
              <w:spacing w:after="0" w:line="240" w:lineRule="auto"/>
              <w:contextualSpacing/>
              <w:jc w:val="both"/>
              <w:rPr>
                <w:rFonts w:ascii="Times New Roman" w:eastAsia="Times New Roman" w:hAnsi="Times New Roman" w:cs="Times New Roman"/>
                <w:b/>
                <w:smallCaps/>
                <w:kern w:val="24"/>
              </w:rPr>
            </w:pPr>
            <w:r w:rsidRPr="00686C18">
              <w:rPr>
                <w:rFonts w:ascii="Times New Roman" w:eastAsia="Times New Roman" w:hAnsi="Times New Roman" w:cs="Times New Roman"/>
                <w:b/>
                <w:smallCaps/>
                <w:kern w:val="24"/>
              </w:rPr>
              <w:t>Information concerning the investment objectives, policies and restrictions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description of the investment strategy, objectives and policies of the scheme. This description must be as comprehensive as possible to ensure that investors can make an informed decision on the investment being proposed.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description shall include: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9"/>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Where the scheme is being established as a master-feeder scheme, information on where the master scheme is established;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9"/>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If the fund is being established as a fund of funds, information on where the underlying funds are established;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9"/>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types of assets in which the scheme may invest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9"/>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 indication whether the scheme will be operating in accordance with the principle of risk spreading;</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9"/>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techniques which the scheme may employ.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86C18"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86C18">
              <w:rPr>
                <w:rFonts w:ascii="Times New Roman" w:eastAsia="Times New Roman" w:hAnsi="Times New Roman" w:cs="Times New Roman"/>
                <w:kern w:val="24"/>
              </w:rPr>
              <w:t>A description of the risks attached to the investment policy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 the case of securities, the offering document shall provide an indication of whether the securities are listed or unlisted and the geographical spread.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 the case of investment in equities, the offering document shall provide an indication whether the fund shall target equities having particular market size, capitalisation.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 the case of investments in fixed income, the whether these are sovereign or corporate bonds. Furthermore, an indication shall be provided of the ratings of such fixed income assets i.e. whether high yield and investment grade.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Where the scheme expects to deal/trade directly in commodities or expects the delivery of commodities underlying an FDI instrument, the manner in which such investments will be made by the fund, the types of commodities, including relevant safekeeping arrangements, insurance arrangements (as applicable), valuation methodology of such asset and relevant risk warnings in relation to these instruments.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Where the scheme proposes to invest in other collective investment schemes, the offering document shall provide the following information: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0"/>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strategy of such collective investment schemes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0"/>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domicile of the collective investment schemes;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0"/>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confirmation that the scheme is not restricted from investing in other collective investment schemes;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0"/>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 identification whether the scheme will invest in collective investment schemes which are managed by the same AIFM of the scheme. In the case where the scheme is allowed to invest in such collective investment schemes which are managed by the AIFM managing the scheme, a confirmation that there will be certain waiving of fees and that only one set of subscription and/or redemption fees applies between the scheme and the underlying scheme level in order to avoid duplication of fees;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0"/>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 indication whether the target collective investment schemes are regulated or otherwise;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 indication whether the scheme may invest in other sub-funds of the same scheme and the applicability or otherwise of the rules on cross sub-fund investments;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Where the scheme proposes to invest in financial derivative instruments: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1"/>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 indication of the types of financial derivative instruments;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1"/>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 indication whether these financial derivative instruments will be used as part of the investment strategy and/or for hedging purposes and whether they are exchange-traded or dealt in over-the counter</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1"/>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on the underlying asset of the financial derivative instruments.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With regards to the investment restrictions information on the applicable investment restrictions and any limits on investments.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any remedial measures which the scheme proposes to take in the case where any investment limits are exceeded.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procedures by which the scheme may change its investment strategy or investment policy or both.</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statement indicating that changes to the investment policies and restrictions of the scheme shall be notified to investors in advance of the change.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statement indicating that changes to the investment objectives of the scheme, shall be notified to investors in advance of the change. The change in the investment objectives will only become effective after all redemption requests received during such notice period, have been satisfied.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Leverage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The means through which the Scheme will employ leverage.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circumstances in which the scheme may use leverage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maximum level of leverage which the AIFM is entitled to employ on behalf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Any restriction on the use of leverage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description of any collateral and asset reuse arrangements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Loan Funds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risk warning which describes the risks which arise from Loan Funds and how investment in such a scheme is illiquid, not guaranteed and subject to the possibility of investment losses.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kern w:val="24"/>
              </w:rPr>
              <w:t>Information on the risk diversification strategy which the scheme will adopt to achieve a portfolio of loans whether through direct origination of loans by the scheme or through the acquisition by the scheme of a portfolio of loans or a direct interest in loans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on the manner in which the scheme proposes to limit the exposure to any one single undertaking to 10%</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on the time-frames which the scheme will be adopting to achieve its strategy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Disclosure of the dates when the scheme or the AIFM may invite redemptions from unit-holders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on the risk and reward profile of the scheme to enable investors to assess the risks linked to an investment in this type of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Information on the concentration of the scheme with regards to individual entities, the locations and the sectors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credit risk policy as outlined in Section 4 of the Rules applicable to collective investment schemes authorised to invest through loans.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Information on the leverage limits of the scheme and a warning that these leverage limits may be varied by the MFSA.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 xml:space="preserve">Money Market Funds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statement whether the scheme is a money market fund or a short-term money market fund.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scheme must have the primary objective of maintaining the principal investment of the fund and shall aim to provide a return in line with money market rates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to investors on the risk and reward profile of the Scheme to enable them to identify any specific risks linked to the investment strategy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on the investments carried out by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European Venture Capital Funds [Regulation (EU) No. 345/2013</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Where the scheme is established as an EuVECA fund, the information provided shall include:</w:t>
            </w:r>
            <w:r w:rsidRPr="00614814">
              <w:rPr>
                <w:rFonts w:ascii="Times New Roman" w:eastAsia="Times New Roman" w:hAnsi="Times New Roman" w:cs="Times New Roman"/>
                <w:b/>
                <w:smallCaps/>
                <w:kern w:val="24"/>
              </w:rPr>
              <w:t xml:space="preserve">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6"/>
              </w:numPr>
              <w:spacing w:after="0" w:line="240" w:lineRule="auto"/>
              <w:ind w:left="1276" w:hanging="556"/>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a confirmation that the AIFM is in possession of a licence/authorisation granted in terms of Directive 2011/61/EU;</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6"/>
              </w:numPr>
              <w:spacing w:after="0" w:line="240" w:lineRule="auto"/>
              <w:ind w:left="1276" w:hanging="556"/>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a description of the investment strategy and objectives of each EuVECA fund including:</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A66689" w:rsidRDefault="00D1124F" w:rsidP="00496921">
            <w:pPr>
              <w:numPr>
                <w:ilvl w:val="0"/>
                <w:numId w:val="19"/>
              </w:numPr>
              <w:tabs>
                <w:tab w:val="left" w:pos="1843"/>
              </w:tabs>
              <w:spacing w:after="0" w:line="240" w:lineRule="auto"/>
              <w:ind w:left="1843" w:hanging="567"/>
              <w:contextualSpacing/>
              <w:jc w:val="both"/>
              <w:rPr>
                <w:rFonts w:ascii="Times New Roman" w:eastAsia="Times New Roman" w:hAnsi="Times New Roman" w:cs="Times New Roman"/>
                <w:smallCaps/>
                <w:kern w:val="24"/>
              </w:rPr>
            </w:pPr>
            <w:r w:rsidRPr="00A66689">
              <w:rPr>
                <w:rFonts w:ascii="Times New Roman" w:eastAsia="Times New Roman" w:hAnsi="Times New Roman" w:cs="Times New Roman"/>
                <w:kern w:val="24"/>
              </w:rPr>
              <w:t>the types of qualifying portfolio undertakings in which the AIFM intends investing</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A66689" w:rsidRDefault="00D1124F" w:rsidP="00496921">
            <w:pPr>
              <w:numPr>
                <w:ilvl w:val="0"/>
                <w:numId w:val="19"/>
              </w:numPr>
              <w:tabs>
                <w:tab w:val="left" w:pos="1843"/>
              </w:tabs>
              <w:spacing w:after="0" w:line="240" w:lineRule="auto"/>
              <w:ind w:left="1843" w:hanging="567"/>
              <w:contextualSpacing/>
              <w:jc w:val="both"/>
              <w:rPr>
                <w:rFonts w:ascii="Times New Roman" w:eastAsia="Times New Roman" w:hAnsi="Times New Roman" w:cs="Times New Roman"/>
                <w:smallCaps/>
                <w:kern w:val="24"/>
              </w:rPr>
            </w:pPr>
            <w:r w:rsidRPr="00A66689">
              <w:rPr>
                <w:rFonts w:ascii="Times New Roman" w:eastAsia="Times New Roman" w:hAnsi="Times New Roman" w:cs="Times New Roman"/>
                <w:kern w:val="24"/>
              </w:rPr>
              <w:t>any other qualifying venture capital funds in which the AIFM intends to invest;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A66689" w:rsidRDefault="00D1124F" w:rsidP="00496921">
            <w:pPr>
              <w:numPr>
                <w:ilvl w:val="0"/>
                <w:numId w:val="19"/>
              </w:numPr>
              <w:tabs>
                <w:tab w:val="left" w:pos="1843"/>
              </w:tabs>
              <w:spacing w:after="0" w:line="240" w:lineRule="auto"/>
              <w:ind w:left="1843" w:hanging="567"/>
              <w:contextualSpacing/>
              <w:jc w:val="both"/>
              <w:rPr>
                <w:rFonts w:ascii="Times New Roman" w:eastAsia="Times New Roman" w:hAnsi="Times New Roman" w:cs="Times New Roman"/>
                <w:smallCaps/>
                <w:kern w:val="24"/>
              </w:rPr>
            </w:pPr>
            <w:r w:rsidRPr="00A66689">
              <w:rPr>
                <w:rFonts w:ascii="Times New Roman" w:eastAsia="Times New Roman" w:hAnsi="Times New Roman" w:cs="Times New Roman"/>
                <w:kern w:val="24"/>
              </w:rPr>
              <w:t>the types of qualifying portfolio undertakings in which any other qualifying venture capital fund as referred to in paragraph (ii) intends to invest;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9"/>
              </w:numPr>
              <w:tabs>
                <w:tab w:val="left" w:pos="1843"/>
              </w:tabs>
              <w:spacing w:after="0" w:line="240" w:lineRule="auto"/>
              <w:ind w:left="1843"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non-qualifying investment which the AIFM intends to make;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9"/>
              </w:numPr>
              <w:tabs>
                <w:tab w:val="left" w:pos="1843"/>
              </w:tabs>
              <w:spacing w:after="0" w:line="240" w:lineRule="auto"/>
              <w:ind w:left="1843"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techniques it intends to employ;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9"/>
              </w:numPr>
              <w:tabs>
                <w:tab w:val="left" w:pos="1843"/>
              </w:tabs>
              <w:spacing w:after="0" w:line="240" w:lineRule="auto"/>
              <w:ind w:left="1843"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any applicable investment restrictions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6"/>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risk profile of the qualifying venture capital fund and any risks associated with the assets in which the scheme may invest or investment techniques that may be employed;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6"/>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procedures by which the qualifying venture capital fund may change its investment strategy or investment policy or both.</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smallCaps/>
                <w:kern w:val="24"/>
              </w:rPr>
            </w:pPr>
            <w:r w:rsidRPr="00614814">
              <w:rPr>
                <w:rFonts w:ascii="Times New Roman Bold" w:eastAsia="Times New Roman" w:hAnsi="Times New Roman Bold" w:cs="Times New Roman"/>
                <w:b/>
                <w:kern w:val="24"/>
              </w:rPr>
              <w:t>European Social Entrepreneurship Funds [Regulation (EU) No</w:t>
            </w:r>
            <w:r w:rsidRPr="00614814">
              <w:rPr>
                <w:rFonts w:ascii="Times New Roman" w:eastAsia="Times New Roman" w:hAnsi="Times New Roman" w:cs="Times New Roman"/>
                <w:b/>
                <w:smallCaps/>
                <w:kern w:val="24"/>
              </w:rPr>
              <w:t xml:space="preserve"> 346/2013</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Where the scheme is established as an EuSEF fund, the information provided shall include: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0"/>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confirmation that the AIFM is in possession of a licence/authorisation granted in terms of Directive 2011/61/EU;</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0"/>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investment strategy and objectives of each EuSEF fund including:</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1"/>
              </w:numPr>
              <w:tabs>
                <w:tab w:val="left" w:pos="1843"/>
              </w:tabs>
              <w:spacing w:after="0" w:line="240" w:lineRule="auto"/>
              <w:ind w:left="1843"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types of qualifying portfolio undertakings in which the AIFM intends investing;</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1"/>
              </w:numPr>
              <w:tabs>
                <w:tab w:val="left" w:pos="1843"/>
              </w:tabs>
              <w:spacing w:after="0" w:line="240" w:lineRule="auto"/>
              <w:ind w:left="1843"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any other qualifying social entrepreneurship funds in which the AIFM intends to invest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1"/>
              </w:numPr>
              <w:tabs>
                <w:tab w:val="left" w:pos="1843"/>
              </w:tabs>
              <w:spacing w:after="0" w:line="240" w:lineRule="auto"/>
              <w:ind w:left="1843"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types of qualifying portfolio undertakings in which any other qualifying social entrepreneurship fund as referred to in paragraph (ii) intends to invest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1"/>
              </w:numPr>
              <w:tabs>
                <w:tab w:val="left" w:pos="1843"/>
              </w:tabs>
              <w:spacing w:after="0" w:line="240" w:lineRule="auto"/>
              <w:ind w:left="1843"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non-qualifying investment which the AIFM intends to make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1"/>
              </w:numPr>
              <w:tabs>
                <w:tab w:val="left" w:pos="1843"/>
              </w:tabs>
              <w:spacing w:after="0" w:line="240" w:lineRule="auto"/>
              <w:ind w:left="1843"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techniques it intends to employ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1"/>
              </w:numPr>
              <w:tabs>
                <w:tab w:val="left" w:pos="1843"/>
              </w:tabs>
              <w:spacing w:after="0" w:line="240" w:lineRule="auto"/>
              <w:ind w:left="1843"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any applicable investment restrictions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A66689" w:rsidRDefault="00D1124F" w:rsidP="00496921">
            <w:pPr>
              <w:numPr>
                <w:ilvl w:val="0"/>
                <w:numId w:val="20"/>
              </w:numPr>
              <w:spacing w:after="0" w:line="240" w:lineRule="auto"/>
              <w:ind w:left="1276" w:hanging="567"/>
              <w:contextualSpacing/>
              <w:jc w:val="both"/>
              <w:rPr>
                <w:rFonts w:ascii="Times New Roman" w:eastAsia="Times New Roman" w:hAnsi="Times New Roman" w:cs="Times New Roman"/>
                <w:smallCaps/>
                <w:kern w:val="24"/>
              </w:rPr>
            </w:pPr>
            <w:r w:rsidRPr="00A66689">
              <w:rPr>
                <w:rFonts w:ascii="Times New Roman" w:eastAsia="Times New Roman" w:hAnsi="Times New Roman" w:cs="Times New Roman"/>
                <w:kern w:val="24"/>
              </w:rPr>
              <w:t>a description of the positive social impact being targeted by the investment policy of the qualifying social entrepreneurship fund, including, where relevant, projections of such outcomes as may be reasonable and information on past performance in this area;</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A66689" w:rsidRDefault="00D1124F" w:rsidP="00496921">
            <w:pPr>
              <w:numPr>
                <w:ilvl w:val="0"/>
                <w:numId w:val="20"/>
              </w:numPr>
              <w:spacing w:after="0" w:line="240" w:lineRule="auto"/>
              <w:ind w:left="1276" w:hanging="567"/>
              <w:contextualSpacing/>
              <w:jc w:val="both"/>
              <w:rPr>
                <w:rFonts w:ascii="Times New Roman" w:eastAsia="Times New Roman" w:hAnsi="Times New Roman" w:cs="Times New Roman"/>
                <w:kern w:val="24"/>
              </w:rPr>
            </w:pPr>
            <w:r w:rsidRPr="00A66689">
              <w:rPr>
                <w:rFonts w:ascii="Times New Roman" w:eastAsia="Times New Roman" w:hAnsi="Times New Roman" w:cs="Times New Roman"/>
                <w:kern w:val="24"/>
              </w:rPr>
              <w:t>the methodologies to be used to measure social impacts;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0"/>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assets other than qualifying portfolio undertakings and the process and the criteria which are used for selecting these assets unless they are cash or cash equivalents;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0"/>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risk profile of the qualifying social entrepreneurship fund and any risks associated with the assets in which the scheme may invest or investment techniques that may be employed;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0"/>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description of the procedures by which the qualifying venture capital fund may change its investment strategy or investment policy or both.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European Long-Term Investment Funds [Regulation (EU) No. 2015/760]</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kern w:val="24"/>
              </w:rPr>
              <w:t>Information necessary to enable investor to make an informed assessment regarding the investment proposed to them and in particular the risks attached thereto.</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kern w:val="24"/>
              </w:rPr>
              <w:t>The following additional information shall be provided: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2"/>
              </w:numPr>
              <w:spacing w:after="0" w:line="240" w:lineRule="auto"/>
              <w:ind w:left="1276" w:hanging="567"/>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kern w:val="24"/>
              </w:rPr>
              <w:t>a statement setting out how the scheme’s investment objectives and strategy for achieving these objectives qualify the scheme as long-term in nature;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2"/>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to be disclosed by the schemes of the closed-ended type in accordance with Directive 20032/71/EC and Regulation (EU) No 809/2004;</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2"/>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 indication of the jurisdiction in which the scheme is allowed to invest;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2"/>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any other information considered necessary by the MFSA to be relevant to enable investors to make such informed assessment;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2"/>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about the long-term nature of the scheme’s investments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2"/>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about the end of the life of the scheme as well as the option to extend the life of the scheme where this is provided for and the applicable conditions;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2"/>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whether the scheme is intended to be marketed to retail investors;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2"/>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 explanation on the rights of investors to redeem their investment in accordance with article 18 of Regulation (EU) 2015/760 and a confirmation that redemptions to investors shall be possible from the day following the date of the end of life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2"/>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on the frequency and timing of the distribution of the proceeds, if any, to investors during the life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A66689" w:rsidRDefault="00D1124F" w:rsidP="00496921">
            <w:pPr>
              <w:numPr>
                <w:ilvl w:val="0"/>
                <w:numId w:val="22"/>
              </w:numPr>
              <w:spacing w:after="0" w:line="240" w:lineRule="auto"/>
              <w:ind w:left="1276" w:hanging="567"/>
              <w:contextualSpacing/>
              <w:jc w:val="both"/>
              <w:rPr>
                <w:rFonts w:ascii="Times New Roman" w:eastAsia="Times New Roman" w:hAnsi="Times New Roman" w:cs="Times New Roman"/>
                <w:kern w:val="24"/>
              </w:rPr>
            </w:pPr>
            <w:r w:rsidRPr="00A66689">
              <w:rPr>
                <w:rFonts w:ascii="Times New Roman" w:eastAsia="Times New Roman" w:hAnsi="Times New Roman" w:cs="Times New Roman"/>
                <w:kern w:val="24"/>
              </w:rPr>
              <w:t>a declaration to investors that only a small proportion of their overall investment portfolio should be invested in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A66689" w:rsidRDefault="00D1124F" w:rsidP="00496921">
            <w:pPr>
              <w:numPr>
                <w:ilvl w:val="0"/>
                <w:numId w:val="22"/>
              </w:numPr>
              <w:spacing w:after="0" w:line="240" w:lineRule="auto"/>
              <w:ind w:left="1276" w:hanging="567"/>
              <w:contextualSpacing/>
              <w:jc w:val="both"/>
              <w:rPr>
                <w:rFonts w:ascii="Times New Roman" w:eastAsia="Times New Roman" w:hAnsi="Times New Roman" w:cs="Times New Roman"/>
                <w:kern w:val="24"/>
              </w:rPr>
            </w:pPr>
            <w:r w:rsidRPr="00A66689">
              <w:rPr>
                <w:rFonts w:ascii="Times New Roman" w:eastAsia="Times New Roman" w:hAnsi="Times New Roman" w:cs="Times New Roman"/>
                <w:kern w:val="24"/>
              </w:rPr>
              <w:t>a description of the hedging policy of the scheme, including a prominent indication that financial derivative instruments may be used only for the purpose of hedging risks inherent to other investments of the scheme, and an indication of the possible impact of the use of financial derivative instruments on the risk profile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2"/>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to investors about the risks related to investing in real assets, including infrastructure;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2"/>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regular updated information (at least annually) on the jurisdictions in which the scheme has invested.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Information from the AIFM whether or not it intends to borrow cash as part of its investment strategy.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concerning the redemption policy.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 relation to cost disclosure, the offering document shall prominently inform investors of the level of the different costs borne directly or indirectly by the investors. The different costs shall be grouped per the following headings: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23"/>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costs of setting up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23"/>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costs related to the acquisition of assets;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23"/>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management and performance related fees;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23"/>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distribution costs;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23"/>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other costs, including administrative, regulatory, depositary, depositary, professional service and audit costs;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23"/>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 overall ratio of the costs to the capital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b/>
                <w:kern w:val="24"/>
              </w:rPr>
              <w:t>Use of side pockets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Where applicable, in the use of side pockets: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7"/>
              </w:numPr>
              <w:spacing w:after="0" w:line="240" w:lineRule="auto"/>
              <w:ind w:left="1276" w:hanging="567"/>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circumstances/criteria where a side pocket may be employed, the policy for transferring assets to side pockets, including the nature of the assets that may be allocated to side pockets and the circumstances in which such allocations may be made as well as the procedure for the allocation of investments to side pockets; a disclosure of any side pocket arrangements together with the clause in the instruments of incorporation which permits the creation of side pockets;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7"/>
              </w:numPr>
              <w:spacing w:after="0" w:line="240" w:lineRule="auto"/>
              <w:ind w:left="1276" w:hanging="567"/>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policy and procedure to be followed by the scheme for transferring assets out of side pockets or for redeeming such assets as well as the procedure to be followed for the redemption or re-conversion of the units representing the side pocket. In this regard, upon the occurrence of a ‘liquidity event whereby an asset allocated to a side pocket becomes liquid or capable of valuation, the scheme may decide to redeem such asset or to transfer such asset to the liquid pool of assets – details pertaining to the policy and procedure to be adopted are to be clearly disclosed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7"/>
              </w:numPr>
              <w:spacing w:after="0" w:line="240" w:lineRule="auto"/>
              <w:ind w:left="1276" w:hanging="567"/>
              <w:jc w:val="both"/>
              <w:rPr>
                <w:rFonts w:ascii="Times New Roman" w:eastAsia="Times New Roman" w:hAnsi="Times New Roman" w:cs="Times New Roman"/>
                <w:kern w:val="24"/>
              </w:rPr>
            </w:pPr>
            <w:r w:rsidRPr="00614814">
              <w:rPr>
                <w:rFonts w:ascii="Times New Roman" w:eastAsia="Times New Roman" w:hAnsi="Times New Roman" w:cs="Times New Roman"/>
                <w:kern w:val="24"/>
              </w:rPr>
              <w:t>limits (where applicable) on the size of side pockets, including the maximum percentage of the scheme/sub-fund which can be allocated to the side pocket in aggregate, and in the case where no limits are set, disclosure to this effect;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7"/>
              </w:numPr>
              <w:spacing w:after="0" w:line="240" w:lineRule="auto"/>
              <w:ind w:left="1276" w:hanging="567"/>
              <w:jc w:val="both"/>
              <w:rPr>
                <w:rFonts w:ascii="Times New Roman" w:eastAsia="Times New Roman" w:hAnsi="Times New Roman" w:cs="Times New Roman"/>
                <w:kern w:val="24"/>
              </w:rPr>
            </w:pPr>
            <w:r w:rsidRPr="00614814">
              <w:rPr>
                <w:rFonts w:ascii="Times New Roman" w:eastAsia="Times New Roman" w:hAnsi="Times New Roman" w:cs="Times New Roman"/>
                <w:kern w:val="24"/>
              </w:rPr>
              <w:t>policies for the valuation of assets allocated to a side pocket. This disclosure should be comprehensive on the methodology for the valuation of these types of assets and should also refer to a consistent approach to be adopted when valuing such assets;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7"/>
              </w:numPr>
              <w:spacing w:after="0" w:line="240" w:lineRule="auto"/>
              <w:ind w:left="1276" w:hanging="567"/>
              <w:jc w:val="both"/>
              <w:rPr>
                <w:rFonts w:ascii="Times New Roman" w:eastAsia="Times New Roman" w:hAnsi="Times New Roman" w:cs="Times New Roman"/>
                <w:kern w:val="24"/>
              </w:rPr>
            </w:pPr>
            <w:r w:rsidRPr="00614814">
              <w:rPr>
                <w:rFonts w:ascii="Times New Roman" w:eastAsia="Times New Roman" w:hAnsi="Times New Roman" w:cs="Times New Roman"/>
                <w:kern w:val="24"/>
              </w:rPr>
              <w:t>fee structure relating to the class of units representing the side pocket; and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7"/>
              </w:numPr>
              <w:spacing w:after="0" w:line="240" w:lineRule="auto"/>
              <w:ind w:left="1276" w:hanging="567"/>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relevant risk warnings in particular arising from the fact that side pocket assets may be hard to value, the illiquidity of side pocket assets, the difficulty which investors may find to exit from an investment in a side pocket rather than from a ‘normal’ share class in the scheme, and associated restrictions in realising interests in such assets.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Bold" w:eastAsia="Times New Roman" w:hAnsi="Times New Roman Bold" w:cs="Times New Roman"/>
                <w:b/>
                <w:kern w:val="24"/>
                <w:highlight w:val="yellow"/>
              </w:rPr>
            </w:pPr>
            <w:r w:rsidRPr="00614814">
              <w:rPr>
                <w:rFonts w:ascii="Times New Roman Bold" w:eastAsia="Times New Roman" w:hAnsi="Times New Roman Bold" w:cs="Times New Roman"/>
                <w:b/>
                <w:kern w:val="24"/>
              </w:rPr>
              <w:t>Use of trading companies and special purpose vehicles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Where applicable, an indication that the scheme will use trading companies or special purpose vehicles as part of its investment strategy.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 particular, in relation to the use of special purpose vehicles, a description outlining the relevant criteria and requirements applicable in relation to the financing of such special purpose vehicles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manner in which such financing will be made i.e. either by capital contributions only, or a combination of capital contributions and loan facilities (as applicable).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Details relating to the main terms of a loan facility arrangements to be entered into by the scheme and the special purpose vehicle in question which could inter alia include the following:</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5"/>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that the scheme should not be obliged to honour any request for lending made by the special purpose vehicle in the case where the scheme does not have sufficient liquid assets or if the scheme deems necessary the retention of such assets to finance other investments of the sub-fund or the retention of such assets as reserves for any current or future contingent liability;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5"/>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that any amount borrowed by the special purpose vehicle will be repayable on or within a short period of time following any request in this regard by the scheme in order to ensure the liquidity of the scheme and allow the scheme to satisfy redemption requests by investors in the case where these cannot be satisfied from liquid assets available to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5"/>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that any proceeds of any loan made to the special purpose vehicle shall be used by it solely to finance the acquisition of the assets or property referred to in the loan agreement, which shall always reflect and be in line with the objectives and policies of the sub-fund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5"/>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any other safeguards deemed appropriate by the directors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Investment through joint ventures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Where the scheme proposes through invest through joint ventures include: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4"/>
                <w:numId w:val="2"/>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proposed investments via co-investments or joint ventures;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4"/>
                <w:numId w:val="2"/>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manner in which the scheme intends to safeguard the interest of shareholders in the instances where it may not have majority control;</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4"/>
                <w:numId w:val="2"/>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manner in which the scheme will ensure the suitability of investments undertaken by such joint ventures and how it will ensure on an ongoing basis that these reflect the investment objectives and policies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contextualSpacing/>
              <w:jc w:val="both"/>
              <w:rPr>
                <w:rFonts w:ascii="Times New Roman Bold" w:eastAsia="Times New Roman" w:hAnsi="Times New Roman Bold" w:cs="Times New Roman"/>
                <w:b/>
                <w:smallCaps/>
                <w:kern w:val="24"/>
              </w:rPr>
            </w:pPr>
            <w:r w:rsidRPr="00614814">
              <w:rPr>
                <w:rFonts w:ascii="Times New Roman Bold" w:eastAsia="Times New Roman" w:hAnsi="Times New Roman Bold" w:cs="Times New Roman"/>
                <w:b/>
                <w:smallCaps/>
                <w:kern w:val="24"/>
              </w:rPr>
              <w:t>Conflicts of Interest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description of the potential conflicts of interest which could arise between the AIFM, or the investment adviser, or the depositary/ prime broker, and the scheme and the manner in which these will be resolved.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involvements of the proposed officials of the scheme with the scheme’s service providers.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description of how the AIFM ensures a fair treatment of unit-holders, and whenever a unit-holder obtains preferential treatment or the right to obtains preferential treatment, a description of that preferential treatment, the type of unit-holders who obtain such preferential treatment and, where relevant their links with the Scheme or the AIFM.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contextualSpacing/>
              <w:jc w:val="both"/>
              <w:rPr>
                <w:rFonts w:ascii="Times New Roman Bold" w:eastAsia="Times New Roman" w:hAnsi="Times New Roman Bold" w:cs="Times New Roman"/>
                <w:b/>
                <w:smallCaps/>
                <w:kern w:val="24"/>
              </w:rPr>
            </w:pPr>
            <w:r w:rsidRPr="00614814">
              <w:rPr>
                <w:rFonts w:ascii="Times New Roman Bold" w:eastAsia="Times New Roman" w:hAnsi="Times New Roman Bold" w:cs="Times New Roman"/>
                <w:b/>
                <w:smallCaps/>
                <w:kern w:val="24"/>
              </w:rPr>
              <w:t>Organisation of the Company [Applicable where the Scheme is established as a SICAV, INVCO, Incorporated Cell or Incorporated Cell Company]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Date of incorporation and registration number</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Bold" w:eastAsia="Times New Roman" w:hAnsi="Times New Roman Bold"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share capital applicable to the scheme and the manner in which it will be financed i.e. via investor shares and founder share capital.</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Bold" w:eastAsia="Times New Roman" w:hAnsi="Times New Roman Bold"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Bold" w:eastAsia="Times New Roman" w:hAnsi="Times New Roman Bold" w:cs="Times New Roman"/>
                <w:b/>
                <w:smallCaps/>
                <w:kern w:val="24"/>
              </w:rPr>
            </w:pPr>
            <w:r w:rsidRPr="00614814">
              <w:rPr>
                <w:rFonts w:ascii="Times New Roman" w:eastAsia="Times New Roman" w:hAnsi="Times New Roman" w:cs="Times New Roman"/>
                <w:kern w:val="24"/>
              </w:rPr>
              <w:t>Where the scheme will be financed via investor shares, a confirmation shall be provided by the fund administrator confirming that such capital has been invested into the scheme on the first day of the scheme’s operation.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Bold" w:eastAsia="Times New Roman" w:hAnsi="Times New Roman Bold"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Duration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Bold" w:eastAsia="Times New Roman" w:hAnsi="Times New Roman Bold" w:cs="Times New Roman"/>
                <w:b/>
                <w:smallCaps/>
                <w:kern w:val="24"/>
              </w:rPr>
            </w:pPr>
            <w:r w:rsidRPr="00614814">
              <w:rPr>
                <w:rFonts w:ascii="Times New Roman" w:eastAsia="Times New Roman" w:hAnsi="Times New Roman" w:cs="Times New Roman"/>
                <w:kern w:val="24"/>
              </w:rPr>
              <w:t>Information on whether the scheme intends making further issues of shares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rights attached to the founder shares (where applicable)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Information on any possible alterations to the Memorandum and Articles of Association.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rights attached to the investor shares and variations to such class rights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on any alterations to the share capital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Where the Scheme is permitted to repurchase or redeem its investor shares, a description of the procedure shall be included.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procedure concerning the closure of a sub-fund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description of the process of the liquidation of the scheme and of the sub-funds.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A66689" w:rsidRDefault="00D1124F" w:rsidP="00496921">
            <w:pPr>
              <w:numPr>
                <w:ilvl w:val="0"/>
                <w:numId w:val="1"/>
              </w:numPr>
              <w:spacing w:after="0" w:line="240" w:lineRule="auto"/>
              <w:contextualSpacing/>
              <w:jc w:val="both"/>
              <w:rPr>
                <w:rFonts w:ascii="Times New Roman Bold" w:eastAsia="Times New Roman" w:hAnsi="Times New Roman Bold" w:cs="Times New Roman"/>
                <w:b/>
                <w:smallCaps/>
                <w:kern w:val="24"/>
              </w:rPr>
            </w:pPr>
            <w:r w:rsidRPr="00A66689">
              <w:rPr>
                <w:rFonts w:ascii="Times New Roman Bold" w:eastAsia="Times New Roman" w:hAnsi="Times New Roman Bold" w:cs="Times New Roman"/>
                <w:b/>
                <w:smallCaps/>
                <w:kern w:val="24"/>
              </w:rPr>
              <w:t>Additional Information to be included where the scheme is established as a self-managed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A66689"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A66689">
              <w:rPr>
                <w:rFonts w:ascii="Times New Roman" w:eastAsia="Times New Roman" w:hAnsi="Times New Roman" w:cs="Times New Roman"/>
                <w:kern w:val="24"/>
              </w:rPr>
              <w:t>Where the scheme is established as a self-managed AIF, include details: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6"/>
              </w:numPr>
              <w:spacing w:after="0" w:line="240" w:lineRule="auto"/>
              <w:ind w:left="1418"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of the members of the investment committee;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6"/>
              </w:numPr>
              <w:spacing w:after="0" w:line="240" w:lineRule="auto"/>
              <w:ind w:left="1418"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 overview of the experience of the members of the investment committee;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6"/>
              </w:numPr>
              <w:spacing w:after="0" w:line="240" w:lineRule="auto"/>
              <w:ind w:left="1418"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an outline of the person(s) responsible for the day-to-day management of the assets of the scheme.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Bold" w:eastAsia="Times New Roman" w:hAnsi="Times New Roman Bold"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contextualSpacing/>
              <w:jc w:val="both"/>
              <w:rPr>
                <w:rFonts w:ascii="Times New Roman Bold" w:eastAsia="Times New Roman" w:hAnsi="Times New Roman Bold" w:cs="Times New Roman"/>
                <w:b/>
                <w:smallCaps/>
                <w:kern w:val="24"/>
              </w:rPr>
            </w:pPr>
            <w:r w:rsidRPr="00614814">
              <w:rPr>
                <w:rFonts w:ascii="Times New Roman Bold" w:eastAsia="Times New Roman" w:hAnsi="Times New Roman Bold" w:cs="Times New Roman"/>
                <w:b/>
                <w:smallCaps/>
                <w:kern w:val="24"/>
              </w:rPr>
              <w:t>Distributions and Dividends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statement whether the income will be reinvested or paid to the shareholders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Distribution dates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Any time limits (where applicable) after which the entitlement to the dividend lapses and the procedure to be followed in such case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method of payment of dividends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b/>
                <w:smallCaps/>
                <w:kern w:val="24"/>
              </w:rPr>
              <w:t>|Information concerning the Service Providers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b/>
                <w:smallCaps/>
                <w:kern w:val="24"/>
              </w:rPr>
              <w:t>AIFM</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Name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Details on the regulatory status i.e. whether licenced by the MFSA or in another Member State or EEA State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The members of the board of directors of the AIFM with a brief description of their qualifications and experience.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confirmation that the cover potential professional liability risks resulting from the activities which the AIFM may carry out, it shall either have additional own funds or hold a professional indemnity insurance in accordance with the provision of Article 9 of the AIFMD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Where the scheme is established as a loan fund, information on the experience of the AIFM to manage a loan fund and in relation to the credit assessment, credit provisioning monitoring and control of exposures.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duties which the AIFM will be carrying out.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any delegated management function by the AIFM</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Identification of the delegate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Disclosure of any conflicts of interest which may arise because of such delegation.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Jurisdiction regulating the investment management agreement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Information concerning the nature, amount and the basis of calculation in respect of remuneration payable by the scheme to the AIFM (or in the case of a self-managed scheme, the investment committee), and in respect of the reimbursement of costs by the scheme to the AIFM.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b/>
                <w:smallCaps/>
                <w:kern w:val="24"/>
              </w:rPr>
              <w:t>The Administrator</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Name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Details on the regulatory status i.e. whether in possession of a recognition certificate issued in terms of the Investment Services Act.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duties which the administrator will be carrying out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any indemnities due to the fund administrator</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statement indicating whether the administrator is appointed by the scheme or the AIFM</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Termination of the administration agreement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Jurisdiction regulating the administration agreement.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concerning the nature, amount and the basis of calculation in respect of remuneration payable by the scheme to the administrator.</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smallCaps/>
                <w:kern w:val="24"/>
              </w:rPr>
              <w:t>Depositary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Name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Details on the regulatory status of the depositary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Duties of the depositary in terms of the Depositary Agreement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of any arrangement made by the depositary to contractually discharge itself of liability as well as any changes to the liability of the depositary.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Details of any delegation of the safe-keeping function to the sub-custodian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Name of the sub-custodian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Disclosure of any conflicts of interest which may arise because of such delegation.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Details of the termination of the Depositary Agreement. It is important that this clause is in line with the provisions of the Investment Services Act (Custodians of Collective Investment Schemes) Regulations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Details concerning the reimbursement of any expenses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Jurisdiction regulating the depositary agreement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concerning the global custodian and other sub-custodians.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Where a prime broker is appointed the following information shall be provided: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2"/>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on the identity of the prime broker;</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2"/>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any material arrangements of the scheme with its prime brokers and the way the conflicts of interest in relation thereto are managed;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2"/>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on the provision in the contract with the depositary on the possibility of transfer and reuse of the scheme’s assets;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2"/>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on any transfer of liability to the prime broker that may exist.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concerning the nature, amount and the basis of calculation in respect of remuneration payable by the scheme to the depositary, and in respect of the reimbursement of costs by the scheme to the depositary.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b/>
                <w:smallCaps/>
                <w:kern w:val="24"/>
              </w:rPr>
              <w:t>Other service providers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Name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Legal Form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Registered Office and where applicable head office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as to whether the service provider is part of a group including the name of that group;</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Regulatory status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duties of these service providers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 the case of the investment adviser, a statement indicating whether the investment adviser/ the administrator is appointed by the scheme or the AIFM.</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jc w:val="both"/>
              <w:rPr>
                <w:rFonts w:ascii="Times New Roman" w:eastAsia="Times New Roman" w:hAnsi="Times New Roman" w:cs="Times New Roman"/>
                <w:kern w:val="24"/>
              </w:rPr>
            </w:pPr>
            <w:r w:rsidRPr="00614814">
              <w:rPr>
                <w:rFonts w:ascii="Times New Roman" w:eastAsia="Times New Roman" w:hAnsi="Times New Roman" w:cs="Times New Roman"/>
                <w:kern w:val="24"/>
              </w:rPr>
              <w:t>Where one or more service providers have not been appointed, a description on how the functions normally undertaken by each service provider will be carried out.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Indication of the duration of the appointment where limited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concerning the nature, amount and the basis of calculation in respect of remuneration payable by the scheme to adviser.</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b/>
                <w:smallCaps/>
                <w:kern w:val="24"/>
              </w:rPr>
              <w:t>Officers of the Scheme (where the scheme is established as a SICAV, INVCO, Incorporated Cell or Incorporated Cell Company)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Names of the directors of the scheme and a brief description of their duties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Name of the Company Secretary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Where the scheme has appointed one or more corporate directors, this section should include brief details on the corporate director and its directors, including a brief description of the nature/ objects of the company.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 the case of a corporate director with nominee shareholders and directors, this section should either disclose the ultimate beneficial owners of the corporate director or include a statement that such information will be available upon request.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b/>
                <w:smallCaps/>
                <w:kern w:val="24"/>
              </w:rPr>
              <w:t>Additional Information required where the scheme is established as a Limited Partnership</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 xml:space="preserve">Where the scheme is established as a limited partnership, include brief details of the general partner(s).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Where the scheme has appointed one or more corporate general partner(s), include brief details on the corporate general partner(s) and its directors, including a brief description of the nature/ objects of the company.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 the case of corporate general partner(s) with nominee shareholders and directors, either disclose the ultimate beneficial owners of the corporate general partner(s) or include a statement that such information will be available upon request.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b/>
                <w:smallCaps/>
                <w:kern w:val="24"/>
              </w:rPr>
              <w:t>Transparency and Reporting</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relevant accounting date(s) for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annual accounting date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date of the initial annual report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interim accounting date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date of the initial interim report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on where the following documents can be obtained (unless not included with the application):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3"/>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Instruments of incorporation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3"/>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latest annual report/ half-yearly report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3"/>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latest net asset value of the scheme, or the latest market price per unit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3"/>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The historical performance of the scheme (where applicable)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1276"/>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AIFM shall disclose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4"/>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percentage of the Scheme’s assets which are subject to special arrangements arising from their illiquid nature;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4"/>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any new arrangements for managing the liquidity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4"/>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current risk profile of the Scheme and the risk management systems employed by the AIFM to manage those risks.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1276"/>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rPr>
          <w:trHeight w:val="1002"/>
        </w:trPr>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Where the AIFM manages, and markets an EU AIF which employs leverage it shall provide information on: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5"/>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any changes to the maximum level of leverage which the AIFM may employ on behalf of the scheme as well as any right of reuse of collateral or any guarantee under the leveraging arrangement;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5"/>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total amount of leverage employed by that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b/>
                <w:smallCaps/>
                <w:kern w:val="24"/>
              </w:rPr>
              <w:t>Subscription and Redemption Procedures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A description of the scheme’s liquidity risk management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description of the subscription procedure applicable for purchases of investor shares.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Where applicable a description of the different share classes which the scheme may establish together with the differentiating factors between share classes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Where applicable details of the types and main characteristics of the units including:</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3"/>
              </w:numPr>
              <w:spacing w:after="0" w:line="240" w:lineRule="auto"/>
              <w:ind w:left="1276" w:hanging="567"/>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indication of the voting rights, if any of the unitholders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3"/>
              </w:numPr>
              <w:spacing w:after="0" w:line="240" w:lineRule="auto"/>
              <w:ind w:left="1276" w:hanging="567"/>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nature of the right represented by the units;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Where has issued “Voting Shares” to the promoters and “non-Voting Shares” to prospective investors, a statement identifying the holders of the “Voting Shares”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If the “Voting Shares” are held by a corporate entity or a trustee, the offering document may include the name of the said corporate entity/ trustee without disclosing the names of the individual beneficial owners/ beneficiaries.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 indication that the identity of the ultimate beneficial owners of the holders of “Voting Shares” will be disclosed upon request.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BE5A12"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BE5A12">
              <w:rPr>
                <w:rFonts w:ascii="Times New Roman" w:eastAsia="Times New Roman" w:hAnsi="Times New Roman" w:cs="Times New Roman"/>
                <w:kern w:val="24"/>
              </w:rPr>
              <w:t xml:space="preserve">An indication whether the scheme shall have a minimum commitment amount in order to be able to launch and whether the scheme would actually be launched if the minimum commitment about is not reached.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Where the scheme is established as a SICAV and has opted to issue shares subject to full payment by a settlement date, in accordance with regulation 16 of the Companies Act (Investment Companies with Variable Share Capital) Regulations, indicate, the settlement date by which payment of the full subscription price is to be received, which date cannot be later than five working days from the date of issue of those shares.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kern w:val="24"/>
              </w:rPr>
              <w:t>An indication whether the company shall accept investments in currencies which are not the base currency and any applicable conditions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following information shall be provided in relation to subscriptions: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6"/>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 indication of the dealing days (where applicable)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6"/>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relating to any maximum subscription charges and the initial offer price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6"/>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concerning the duration of the initial offer period together with an indication whether it will be possible for the scheme to commence investing the subscribers’ subscriptions during the initial offer period;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6"/>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types and main characteristics of the units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6"/>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any settlement periods which are applicable to investors.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1276"/>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Subscribers’ Undertakings and warranties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risk warning to subscribers in relation to the signing and completion of the applicable Investor Declaration Forms.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statement that subscribers will not be issued with share certificates unless the subscriber makes a specific request in writing to the Scheme for the issue of such share certificate.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Subscriptions in specie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statement whether it will be possible for the scheme to accept subscriptions in specie and the relevant applicable provisions.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valuer which the Scheme will be appointing for drawing up the report on any consideration other than cash</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7"/>
              </w:numPr>
              <w:tabs>
                <w:tab w:val="left" w:pos="1418"/>
              </w:tabs>
              <w:spacing w:after="0" w:line="240" w:lineRule="auto"/>
              <w:ind w:left="1418" w:hanging="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valuer needs to be independent of the scheme, its officials or any other service providers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7"/>
              </w:numPr>
              <w:tabs>
                <w:tab w:val="left" w:pos="1418"/>
              </w:tabs>
              <w:spacing w:after="0" w:line="240" w:lineRule="auto"/>
              <w:ind w:left="1418" w:hanging="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valuer needs to be of good standing with recognised and relevant qualifications and an authorised member of a Recognised Professional Body in the jurisdiction of the assets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7"/>
              </w:numPr>
              <w:tabs>
                <w:tab w:val="left" w:pos="1418"/>
              </w:tabs>
              <w:spacing w:after="0" w:line="240" w:lineRule="auto"/>
              <w:ind w:left="1418" w:hanging="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valuer shall be appointed by the Directors of the Scheme subject to the approval of the appointment by the auditors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tabs>
                <w:tab w:val="left" w:pos="1418"/>
              </w:tabs>
              <w:spacing w:after="0" w:line="240" w:lineRule="auto"/>
              <w:ind w:left="1418"/>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contents of the report which shall include: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8"/>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each of the assets comprising the consideration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8"/>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value of each asset and a description of the method of valuation used;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8"/>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confirmation that the value of the consideration is at least equal to the net asset value of the shares to be issued in return for such consideration.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1276"/>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statement that the report shall be held in Malta at the registered office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statement that shares on the scheme shall only be used in favour of the investor once the assets referred to in the valuer’s report have been transferred in favour of the scheme to the satisfaction of the depositary and/or prime broker (where applicable).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Exchange of shares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Disclose details of procedures for the exchange of shares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description of the manner the number of New Shares to be issued on exchange and any fees and charges applicable.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Transfer of shares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Information whether an independent market for the transfer of shares exists and the procedure applicable in the case of transfer of shares.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Outline the procedure applicable in instances where the directors decline to register shares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Eligible investors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kern w:val="24"/>
              </w:rPr>
              <w:t xml:space="preserve">A description of the investors eligible to invest in the scheme.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on the minimum initial holding requirement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kern w:val="24"/>
              </w:rPr>
              <w:t xml:space="preserve">A description of the minimum holding requirements which is applicable at all times.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Information on whether the Board of Directors will permit lesser additional subscriptions or redemptions where deemed appropriate.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Redemption procedures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kern w:val="24"/>
              </w:rPr>
              <w:t>A description of the redemption procedures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kern w:val="24"/>
              </w:rPr>
              <w:t xml:space="preserve">A description of the redemption rights both in normal and in exceptional circumstances including the existing redemption arrangements with investors.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description of the redemption price and any maximum redemption charges.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description of the redemption facilities which will be provided to investors (where applicable).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Redemptions in specie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whether the directors may determine that the payment of the redemption proceeds to any Shareholder may, subject to specific conditions being satisfied, be made wholly or partially in specie.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procedure applicable to redemptions in specie.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Deferral of redemptions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The procedure applicable where the directors opt to limit the total amount of redemptions on any Redemption Day.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Temporary suspension in redemptions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applicable procedure where the Scheme suspends the calculation of the NAV of the Scheme or Sub-Fund and the right of any Shareholder to require redemption of any Investor Share and the issue of Investor Shares.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Compulsory redemption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The procedure applicable to the case where the scheme reserves the right to require shareholders to redeem the total shareholding.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Suspension of redemption requests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The procedure applicable to suspension of redemption requests.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Publication of NAV</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Details on where investors can find information regarding the NAV per share as determined on each valuation day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Valuation of assets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Rules for the valuation of assets including a description of the valuation procedure to ensure a proper and independent valuation of the assets of the scheme. The following information shall be provided: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5"/>
              </w:numPr>
              <w:tabs>
                <w:tab w:val="left" w:pos="709"/>
              </w:tabs>
              <w:spacing w:after="0" w:line="240" w:lineRule="auto"/>
              <w:ind w:hanging="578"/>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methodology and frequency applied to the valuation of assets and the manner in which the net asset value per unit or share of the scheme is carried out;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5"/>
              </w:numPr>
              <w:tabs>
                <w:tab w:val="left" w:pos="709"/>
              </w:tabs>
              <w:spacing w:after="0" w:line="240" w:lineRule="auto"/>
              <w:ind w:hanging="578"/>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pricing methodology for valuing the assets including the methods used in relation to hard-to-value assets as indicated in the instruments of incorporation;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5"/>
              </w:numPr>
              <w:tabs>
                <w:tab w:val="left" w:pos="709"/>
              </w:tabs>
              <w:spacing w:after="0" w:line="240" w:lineRule="auto"/>
              <w:ind w:hanging="578"/>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confirmation that the assets are valued and the net asset value per unit or share is calculated as least on a yearly basis;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5"/>
              </w:numPr>
              <w:tabs>
                <w:tab w:val="left" w:pos="709"/>
              </w:tabs>
              <w:spacing w:after="0" w:line="240" w:lineRule="auto"/>
              <w:ind w:hanging="578"/>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on the external valuer where this is appointed;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smallCaps/>
                <w:kern w:val="24"/>
              </w:rPr>
              <w:t>Risk Factors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section on risk factors should provide a detailed and clear indication of the principal risks associated with investing in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In the case where the scheme will not be operating within the principle of risk spreading, the offering document shall include a relevant risk warning to that effect.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In the case where the scheme will be investing in collective investments which are unregulated, include a risk warning to that effect. Risk warnings shall also be included in relation to any underlying fees when the scheme invests in other collective investment schemes.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 the case where the scheme is established as a loan fund, include a risk warning which draws the attention of investors on the high risk inherent to this type of collective investment schemes and how investment in loan funds is not guaranteed and subject to the possibility of losses.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The following risk warnings shall be included where applicable: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4"/>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risk warning of the limited transferability of the investor shares where applicable;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4"/>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risk warning on the illiquidity of shares and no secondary market.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4"/>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risk warning to the effect that the scheme can defer, suspend or limit the redemption of investor shares in the case of substantial redemptions.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4"/>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interest rate risks;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4"/>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exchange rate fluctuations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4"/>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credit risks;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4"/>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interest rate risks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4"/>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borrowing and leverage risks;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4"/>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any losses which can arise because of the investment policy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4"/>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trading risks;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4"/>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liquidity of investments;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4"/>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risk stemming from the use of derivatives, futures and options;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4"/>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risk stemming from the dependence on key individuals;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4"/>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fee structure and who will bear costs;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4"/>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risk on significant shareholdings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In the case where the scheme will be applying any performance fees, include a risk warning stating that the amount of the performance fee payable to the AIFM will not be subject to any cap or maximum amount and that the performance fee payable to the AIFM may incentivise the AIFM to take higher risks.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risk warning (where applicable) that the scheme does not operate an equalisation account nor any other method to ensure the equal treatment for the payment of performance fees irrespective of the timing of the application for or redemption of shares of the scheme and that when purchasing and/or redeeming shares in the scheme, shareholders may accordingly indirectly underpay or overpay an under-performance accrual or an over-performance accrual.</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Where it is possible for the scheme to enter agreements with investors for committing funds for the subscription at a future date to units at a specific price, a risk warning should be made to the effect that should the scheme issue units at a discount with respect to its current </w:t>
            </w:r>
            <w:smartTag w:uri="urn:schemas-microsoft-com:office:smarttags" w:element="stockticker">
              <w:r w:rsidRPr="00614814">
                <w:rPr>
                  <w:rFonts w:ascii="Times New Roman" w:eastAsia="Times New Roman" w:hAnsi="Times New Roman" w:cs="Times New Roman"/>
                  <w:kern w:val="24"/>
                </w:rPr>
                <w:t>NAV</w:t>
              </w:r>
            </w:smartTag>
            <w:r w:rsidRPr="00614814">
              <w:rPr>
                <w:rFonts w:ascii="Times New Roman" w:eastAsia="Times New Roman" w:hAnsi="Times New Roman" w:cs="Times New Roman"/>
                <w:kern w:val="24"/>
              </w:rPr>
              <w:t>, in terms of the such agreements, there will be a risk of dilution to the net asset value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There should also be a clear risk warning that while investors entering into an agreement with the scheme for the purpose of committing funds for the subscription at a future date to units at a specific price, would in effect be subscribing for such units at a discount if the </w:t>
            </w:r>
            <w:smartTag w:uri="urn:schemas-microsoft-com:office:smarttags" w:element="stockticker">
              <w:r w:rsidRPr="00614814">
                <w:rPr>
                  <w:rFonts w:ascii="Times New Roman" w:eastAsia="Times New Roman" w:hAnsi="Times New Roman" w:cs="Times New Roman"/>
                  <w:kern w:val="24"/>
                </w:rPr>
                <w:t>NAV</w:t>
              </w:r>
            </w:smartTag>
            <w:r w:rsidRPr="00614814">
              <w:rPr>
                <w:rFonts w:ascii="Times New Roman" w:eastAsia="Times New Roman" w:hAnsi="Times New Roman" w:cs="Times New Roman"/>
                <w:kern w:val="24"/>
              </w:rPr>
              <w:t xml:space="preserve"> per unit prevailing at the time the draw-down request is made, exceeds the price at which the investor had agreed to subscribe for units in terms of such agreement, on the other hand, if the </w:t>
            </w:r>
            <w:smartTag w:uri="urn:schemas-microsoft-com:office:smarttags" w:element="stockticker">
              <w:r w:rsidRPr="00614814">
                <w:rPr>
                  <w:rFonts w:ascii="Times New Roman" w:eastAsia="Times New Roman" w:hAnsi="Times New Roman" w:cs="Times New Roman"/>
                  <w:kern w:val="24"/>
                </w:rPr>
                <w:t>NAV</w:t>
              </w:r>
            </w:smartTag>
            <w:r w:rsidRPr="00614814">
              <w:rPr>
                <w:rFonts w:ascii="Times New Roman" w:eastAsia="Times New Roman" w:hAnsi="Times New Roman" w:cs="Times New Roman"/>
                <w:kern w:val="24"/>
              </w:rPr>
              <w:t xml:space="preserve"> per unit at the time a draw-down request is made is lower than the price at which the investor had agreed to subscribe for units in terms of such agreement, the investor would, in effect, be paying a premium for such units.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b/>
                <w:smallCaps/>
                <w:kern w:val="24"/>
              </w:rPr>
              <w:t>Fees, Charges and Expenses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description of all fees, charges and expenses and of the maximum amounts thereof which are directly or indirectly borne by investors.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A description of the investment management fees including the fee payable to the sub-manager.</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 the case where the scheme is self-managed, include details of the maximum fees paid to the investment committee members and the portfolio manager.</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details of any applicable performance fees including the amount and manner in which the performance fee is calculated;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The procedure applicable in the case of alterations to the investment management and performance fee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A description of the administration fees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A description of the company secretarial fee (where the scheme is established as a SICAV)</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A description of the prime brokerage and depositary fee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fees and expenses payable to the members of the governing body of the scheme or at least an aggregate or a maximum amount of such fees;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Details of the fees payable by the scheme relating to authorised distributor fees, introducers, etc.</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manner in which such fees will be paid and accrued;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Details of the basis of the fee calculation;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in the case of differing initial/ exit/ authorised distributor/ management/ performance fees for different share classes, a description of such fees per each share class. Furthermore, include a description of the entry eligibility criteria applicable for each investor class.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 the case of an umbrella scheme, the charges applicable to the switching of investments from one sub-fund to another</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Any other fees and expenses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contextualSpacing/>
              <w:jc w:val="both"/>
              <w:rPr>
                <w:rFonts w:ascii="Times New Roman Bold" w:eastAsia="Times New Roman" w:hAnsi="Times New Roman Bold" w:cs="Times New Roman"/>
                <w:b/>
                <w:smallCaps/>
                <w:kern w:val="24"/>
              </w:rPr>
            </w:pPr>
            <w:r w:rsidRPr="00614814">
              <w:rPr>
                <w:rFonts w:ascii="Times New Roman Bold" w:eastAsia="Times New Roman" w:hAnsi="Times New Roman Bold" w:cs="Times New Roman"/>
                <w:b/>
                <w:smallCaps/>
                <w:kern w:val="24"/>
              </w:rPr>
              <w:t>Anti-Money Laundering and Data Protection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description of the obligations of the AIFM and the Administrator to fulfil the obligations pursuant to the Prevention of Money Laundering Act and the Prevention of Money Laundering and Funding of Terrorism Regulations.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description of the applicable requirements for the prevention of money laundering.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obligations relating to data protection to be complied with by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contextualSpacing/>
              <w:jc w:val="both"/>
              <w:rPr>
                <w:rFonts w:ascii="Times New Roman" w:eastAsia="Times New Roman" w:hAnsi="Times New Roman" w:cs="Times New Roman"/>
                <w:kern w:val="24"/>
              </w:rPr>
            </w:pPr>
            <w:r w:rsidRPr="00614814">
              <w:rPr>
                <w:rFonts w:ascii="Times New Roman Bold" w:eastAsia="Times New Roman" w:hAnsi="Times New Roman Bold" w:cs="Times New Roman"/>
                <w:b/>
                <w:smallCaps/>
                <w:kern w:val="24"/>
              </w:rPr>
              <w:t>Taxation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tax system which will be applicable to scheme inter alia in terms of:</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7"/>
              </w:numPr>
              <w:spacing w:after="0" w:line="240" w:lineRule="auto"/>
              <w:ind w:left="1418" w:hanging="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income tax;</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7"/>
              </w:numPr>
              <w:spacing w:after="0" w:line="240" w:lineRule="auto"/>
              <w:ind w:left="1418" w:hanging="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value added tax;</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7"/>
              </w:numPr>
              <w:spacing w:after="0" w:line="240" w:lineRule="auto"/>
              <w:ind w:left="1418" w:hanging="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duty on documents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contextualSpacing/>
              <w:jc w:val="both"/>
              <w:rPr>
                <w:rFonts w:ascii="Times New Roman" w:eastAsia="Times New Roman" w:hAnsi="Times New Roman" w:cs="Times New Roman"/>
                <w:kern w:val="24"/>
              </w:rPr>
            </w:pPr>
            <w:r w:rsidRPr="00614814">
              <w:rPr>
                <w:rFonts w:ascii="Times New Roman Bold" w:eastAsia="Times New Roman" w:hAnsi="Times New Roman Bold" w:cs="Times New Roman"/>
                <w:b/>
                <w:smallCaps/>
                <w:kern w:val="24"/>
              </w:rPr>
              <w:t>Determination of the Net Asset Value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method to be used for the determination of the creation, sale and issue prices and the repurchase, redemption and cancellation prices of units, in particular:</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4"/>
              </w:numPr>
              <w:spacing w:after="0" w:line="240" w:lineRule="auto"/>
              <w:ind w:left="1276" w:hanging="567"/>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method and frequency of the calculation of the net asset value;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4"/>
              </w:numPr>
              <w:spacing w:after="0" w:line="240" w:lineRule="auto"/>
              <w:ind w:left="1276" w:hanging="567"/>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concerning the charges relating to the sale or issue and the repurchase or redemption of units; and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4"/>
              </w:numPr>
              <w:spacing w:after="0" w:line="240" w:lineRule="auto"/>
              <w:ind w:left="1276" w:hanging="567"/>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arrangements whereby unit holders and prospective unit holders may deal.</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1276"/>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contextualSpacing/>
              <w:jc w:val="both"/>
              <w:rPr>
                <w:rFonts w:ascii="Times New Roman" w:eastAsia="Times New Roman" w:hAnsi="Times New Roman" w:cs="Times New Roman"/>
                <w:kern w:val="24"/>
              </w:rPr>
            </w:pPr>
            <w:r w:rsidRPr="00614814">
              <w:rPr>
                <w:rFonts w:ascii="Times New Roman Bold" w:eastAsia="Times New Roman" w:hAnsi="Times New Roman Bold" w:cs="Times New Roman"/>
                <w:b/>
                <w:smallCaps/>
                <w:kern w:val="24"/>
              </w:rPr>
              <w:t>General Information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Where applicable a description of the dividend policy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1276"/>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procedure applicable in the case of amendments to the Offering Memorandum and Offering Supplements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Details of the accounting reference date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manner in which the ownership of the units will be confirmed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Descriptions of soft dollar arrangements (where applicable)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 indication of strategies for the exercise of voting rights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Disclosure of the material provisions of contracts entered between third parties and the AIFM which may be relevant to the unit-holders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main legal implications of the contractual relationship entered for investment purposes, including information on the jurisdiction, on the applicable law and on the existence or otherwise of any legal instruments providing for the recognition and enforcement of judgements in Malta.</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Indication of the documents which will be provided prior to investment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Additional information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jc w:val="both"/>
              <w:rPr>
                <w:rFonts w:ascii="Times New Roman Bold" w:eastAsia="Times New Roman" w:hAnsi="Times New Roman Bold" w:cs="Times New Roman"/>
                <w:b/>
                <w:smallCaps/>
                <w:kern w:val="24"/>
              </w:rPr>
            </w:pPr>
            <w:r w:rsidRPr="00614814">
              <w:rPr>
                <w:rFonts w:ascii="Times New Roman Bold" w:eastAsia="Times New Roman" w:hAnsi="Times New Roman Bold" w:cs="Times New Roman"/>
                <w:b/>
                <w:smallCaps/>
                <w:kern w:val="24"/>
              </w:rPr>
              <w:t>Undertakings and warranties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subscribers’ undertakings and warranties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jc w:val="both"/>
              <w:rPr>
                <w:rFonts w:ascii="Times New Roman" w:eastAsia="Times New Roman" w:hAnsi="Times New Roman" w:cs="Times New Roman"/>
                <w:kern w:val="24"/>
              </w:rPr>
            </w:pPr>
            <w:r w:rsidRPr="00496921">
              <w:rPr>
                <w:rFonts w:ascii="Times New Roman Bold" w:eastAsia="Times New Roman" w:hAnsi="Times New Roman Bold" w:cs="Times New Roman"/>
                <w:b/>
                <w:smallCaps/>
                <w:kern w:val="24"/>
              </w:rPr>
              <w:t>Directory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bl>
    <w:p w:rsidR="00D1124F" w:rsidRPr="00614814" w:rsidRDefault="00D1124F" w:rsidP="00D1124F">
      <w:pPr>
        <w:spacing w:after="0" w:line="240" w:lineRule="auto"/>
        <w:contextualSpacing/>
        <w:jc w:val="both"/>
        <w:rPr>
          <w:rFonts w:ascii="Times New Roman" w:eastAsia="Times New Roman" w:hAnsi="Times New Roman" w:cs="Times New Roman"/>
          <w:b/>
          <w:smallCaps/>
          <w:kern w:val="24"/>
          <w:highlight w:val="yellow"/>
        </w:rPr>
      </w:pPr>
    </w:p>
    <w:p w:rsidR="00D1124F" w:rsidRPr="00614814" w:rsidRDefault="00D1124F" w:rsidP="00D1124F">
      <w:pPr>
        <w:spacing w:after="0" w:line="240" w:lineRule="auto"/>
        <w:jc w:val="both"/>
        <w:rPr>
          <w:rFonts w:ascii="Times New Roman" w:eastAsia="Times New Roman" w:hAnsi="Times New Roman" w:cs="Times New Roman"/>
          <w:kern w:val="24"/>
        </w:rPr>
      </w:pPr>
    </w:p>
    <w:p w:rsidR="004A479A" w:rsidRDefault="004A479A"/>
    <w:sectPr w:rsidR="004A479A" w:rsidSect="00496921">
      <w:footerReference w:type="default" r:id="rId7"/>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129079"/>
      <w:docPartObj>
        <w:docPartGallery w:val="Page Numbers (Bottom of Page)"/>
        <w:docPartUnique/>
      </w:docPartObj>
    </w:sdtPr>
    <w:sdtContent>
      <w:sdt>
        <w:sdtPr>
          <w:id w:val="860082579"/>
          <w:docPartObj>
            <w:docPartGallery w:val="Page Numbers (Top of Page)"/>
            <w:docPartUnique/>
          </w:docPartObj>
        </w:sdtPr>
        <w:sdtContent>
          <w:p w:rsidR="00D1124F" w:rsidRDefault="00D1124F">
            <w:pPr>
              <w:pStyle w:val="Footer"/>
              <w:jc w:val="right"/>
            </w:pPr>
            <w:r w:rsidRPr="00E93BDE">
              <w:rPr>
                <w:rFonts w:ascii="Times New Roman" w:hAnsi="Times New Roman" w:cs="Times New Roman"/>
                <w:sz w:val="16"/>
                <w:szCs w:val="16"/>
              </w:rPr>
              <w:t xml:space="preserve">Page </w:t>
            </w:r>
            <w:r w:rsidRPr="00E93BDE">
              <w:rPr>
                <w:rFonts w:ascii="Times New Roman" w:hAnsi="Times New Roman" w:cs="Times New Roman"/>
                <w:b/>
                <w:bCs/>
                <w:sz w:val="16"/>
                <w:szCs w:val="16"/>
              </w:rPr>
              <w:fldChar w:fldCharType="begin"/>
            </w:r>
            <w:r w:rsidRPr="00E93BDE">
              <w:rPr>
                <w:rFonts w:ascii="Times New Roman" w:hAnsi="Times New Roman" w:cs="Times New Roman"/>
                <w:b/>
                <w:bCs/>
                <w:sz w:val="16"/>
                <w:szCs w:val="16"/>
              </w:rPr>
              <w:instrText xml:space="preserve"> PAGE </w:instrText>
            </w:r>
            <w:r w:rsidRPr="00E93BDE">
              <w:rPr>
                <w:rFonts w:ascii="Times New Roman" w:hAnsi="Times New Roman" w:cs="Times New Roman"/>
                <w:b/>
                <w:bCs/>
                <w:sz w:val="16"/>
                <w:szCs w:val="16"/>
              </w:rPr>
              <w:fldChar w:fldCharType="separate"/>
            </w:r>
            <w:r w:rsidR="00496921">
              <w:rPr>
                <w:rFonts w:ascii="Times New Roman" w:hAnsi="Times New Roman" w:cs="Times New Roman"/>
                <w:b/>
                <w:bCs/>
                <w:noProof/>
                <w:sz w:val="16"/>
                <w:szCs w:val="16"/>
              </w:rPr>
              <w:t>20</w:t>
            </w:r>
            <w:r w:rsidRPr="00E93BDE">
              <w:rPr>
                <w:rFonts w:ascii="Times New Roman" w:hAnsi="Times New Roman" w:cs="Times New Roman"/>
                <w:b/>
                <w:bCs/>
                <w:sz w:val="16"/>
                <w:szCs w:val="16"/>
              </w:rPr>
              <w:fldChar w:fldCharType="end"/>
            </w:r>
            <w:r w:rsidRPr="00E93BDE">
              <w:rPr>
                <w:rFonts w:ascii="Times New Roman" w:hAnsi="Times New Roman" w:cs="Times New Roman"/>
                <w:sz w:val="16"/>
                <w:szCs w:val="16"/>
              </w:rPr>
              <w:t xml:space="preserve"> of </w:t>
            </w:r>
            <w:r w:rsidRPr="00E93BDE">
              <w:rPr>
                <w:rFonts w:ascii="Times New Roman" w:hAnsi="Times New Roman" w:cs="Times New Roman"/>
                <w:b/>
                <w:bCs/>
                <w:sz w:val="16"/>
                <w:szCs w:val="16"/>
              </w:rPr>
              <w:fldChar w:fldCharType="begin"/>
            </w:r>
            <w:r w:rsidRPr="00E93BDE">
              <w:rPr>
                <w:rFonts w:ascii="Times New Roman" w:hAnsi="Times New Roman" w:cs="Times New Roman"/>
                <w:b/>
                <w:bCs/>
                <w:sz w:val="16"/>
                <w:szCs w:val="16"/>
              </w:rPr>
              <w:instrText xml:space="preserve"> NUMPAGES  </w:instrText>
            </w:r>
            <w:r w:rsidRPr="00E93BDE">
              <w:rPr>
                <w:rFonts w:ascii="Times New Roman" w:hAnsi="Times New Roman" w:cs="Times New Roman"/>
                <w:b/>
                <w:bCs/>
                <w:sz w:val="16"/>
                <w:szCs w:val="16"/>
              </w:rPr>
              <w:fldChar w:fldCharType="separate"/>
            </w:r>
            <w:r w:rsidR="00496921">
              <w:rPr>
                <w:rFonts w:ascii="Times New Roman" w:hAnsi="Times New Roman" w:cs="Times New Roman"/>
                <w:b/>
                <w:bCs/>
                <w:noProof/>
                <w:sz w:val="16"/>
                <w:szCs w:val="16"/>
              </w:rPr>
              <w:t>23</w:t>
            </w:r>
            <w:r w:rsidRPr="00E93BDE">
              <w:rPr>
                <w:rFonts w:ascii="Times New Roman" w:hAnsi="Times New Roman" w:cs="Times New Roman"/>
                <w:b/>
                <w:bCs/>
                <w:sz w:val="16"/>
                <w:szCs w:val="16"/>
              </w:rPr>
              <w:fldChar w:fldCharType="end"/>
            </w:r>
          </w:p>
        </w:sdtContent>
      </w:sdt>
    </w:sdtContent>
  </w:sdt>
  <w:p w:rsidR="00D1124F" w:rsidRDefault="00D1124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3348"/>
    <w:multiLevelType w:val="hybridMultilevel"/>
    <w:tmpl w:val="EA9C0EB4"/>
    <w:lvl w:ilvl="0" w:tplc="BF1C3B2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0C1918"/>
    <w:multiLevelType w:val="hybridMultilevel"/>
    <w:tmpl w:val="F98AD33E"/>
    <w:lvl w:ilvl="0" w:tplc="7D3E335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515A9"/>
    <w:multiLevelType w:val="hybridMultilevel"/>
    <w:tmpl w:val="6B20230C"/>
    <w:lvl w:ilvl="0" w:tplc="63508CE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045C41"/>
    <w:multiLevelType w:val="hybridMultilevel"/>
    <w:tmpl w:val="CFB86F28"/>
    <w:lvl w:ilvl="0" w:tplc="149ADF90">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1E554731"/>
    <w:multiLevelType w:val="hybridMultilevel"/>
    <w:tmpl w:val="0EBA672E"/>
    <w:lvl w:ilvl="0" w:tplc="F9442F1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0633F4C"/>
    <w:multiLevelType w:val="hybridMultilevel"/>
    <w:tmpl w:val="D3F4D810"/>
    <w:lvl w:ilvl="0" w:tplc="AD7633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006FF7"/>
    <w:multiLevelType w:val="hybridMultilevel"/>
    <w:tmpl w:val="CCD476C8"/>
    <w:lvl w:ilvl="0" w:tplc="80A231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9E6291"/>
    <w:multiLevelType w:val="hybridMultilevel"/>
    <w:tmpl w:val="342E3654"/>
    <w:lvl w:ilvl="0" w:tplc="80A231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35A34E5"/>
    <w:multiLevelType w:val="hybridMultilevel"/>
    <w:tmpl w:val="D978518C"/>
    <w:lvl w:ilvl="0" w:tplc="4C4A3790">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9" w15:restartNumberingAfterBreak="0">
    <w:nsid w:val="3520523C"/>
    <w:multiLevelType w:val="hybridMultilevel"/>
    <w:tmpl w:val="CCD476C8"/>
    <w:lvl w:ilvl="0" w:tplc="80A231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2E86E74"/>
    <w:multiLevelType w:val="hybridMultilevel"/>
    <w:tmpl w:val="D3F4D810"/>
    <w:lvl w:ilvl="0" w:tplc="AD76332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EF16EC"/>
    <w:multiLevelType w:val="hybridMultilevel"/>
    <w:tmpl w:val="0124126E"/>
    <w:lvl w:ilvl="0" w:tplc="4E16153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5DE44748">
      <w:start w:val="1"/>
      <w:numFmt w:val="lowerLetter"/>
      <w:lvlText w:val="(%3)"/>
      <w:lvlJc w:val="left"/>
      <w:pPr>
        <w:ind w:left="7023"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631502"/>
    <w:multiLevelType w:val="multilevel"/>
    <w:tmpl w:val="BCEC5FCA"/>
    <w:lvl w:ilvl="0">
      <w:start w:val="1"/>
      <w:numFmt w:val="decimal"/>
      <w:lvlText w:val="%1"/>
      <w:lvlJc w:val="left"/>
      <w:pPr>
        <w:ind w:left="720" w:hanging="720"/>
      </w:pPr>
      <w:rPr>
        <w:rFonts w:hint="default"/>
        <w:b/>
      </w:rPr>
    </w:lvl>
    <w:lvl w:ilvl="1">
      <w:start w:val="1"/>
      <w:numFmt w:val="decimalZero"/>
      <w:lvlText w:val="%1.%2"/>
      <w:lvlJc w:val="left"/>
      <w:pPr>
        <w:ind w:left="720" w:hanging="720"/>
      </w:pPr>
      <w:rPr>
        <w:rFonts w:ascii="Times New Roman" w:hAnsi="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B51794"/>
    <w:multiLevelType w:val="hybridMultilevel"/>
    <w:tmpl w:val="1FB84562"/>
    <w:lvl w:ilvl="0" w:tplc="723864D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4481A2D"/>
    <w:multiLevelType w:val="hybridMultilevel"/>
    <w:tmpl w:val="A372FFB0"/>
    <w:lvl w:ilvl="0" w:tplc="B538C8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BBA4A94"/>
    <w:multiLevelType w:val="hybridMultilevel"/>
    <w:tmpl w:val="7D0227A4"/>
    <w:lvl w:ilvl="0" w:tplc="56627F2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F4B7F36"/>
    <w:multiLevelType w:val="hybridMultilevel"/>
    <w:tmpl w:val="5A1A1EE8"/>
    <w:lvl w:ilvl="0" w:tplc="4F06F360">
      <w:start w:val="1"/>
      <w:numFmt w:val="lowerRoman"/>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7" w15:restartNumberingAfterBreak="0">
    <w:nsid w:val="5FAF0ABF"/>
    <w:multiLevelType w:val="multilevel"/>
    <w:tmpl w:val="04A4554A"/>
    <w:lvl w:ilvl="0">
      <w:start w:val="1"/>
      <w:numFmt w:val="decimal"/>
      <w:lvlText w:val="%1"/>
      <w:lvlJc w:val="left"/>
      <w:pPr>
        <w:ind w:left="720" w:hanging="720"/>
      </w:pPr>
      <w:rPr>
        <w:rFonts w:hint="default"/>
        <w:b/>
      </w:rPr>
    </w:lvl>
    <w:lvl w:ilvl="1">
      <w:start w:val="1"/>
      <w:numFmt w:val="lowerLetter"/>
      <w:lvlText w:val="%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C957A1"/>
    <w:multiLevelType w:val="hybridMultilevel"/>
    <w:tmpl w:val="D10A03C0"/>
    <w:lvl w:ilvl="0" w:tplc="8F30BA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E1570E5"/>
    <w:multiLevelType w:val="hybridMultilevel"/>
    <w:tmpl w:val="3A86B8A4"/>
    <w:lvl w:ilvl="0" w:tplc="2FB208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E7A1B5D"/>
    <w:multiLevelType w:val="hybridMultilevel"/>
    <w:tmpl w:val="0430EBC6"/>
    <w:lvl w:ilvl="0" w:tplc="149ADF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C604D3"/>
    <w:multiLevelType w:val="hybridMultilevel"/>
    <w:tmpl w:val="BA24AA68"/>
    <w:lvl w:ilvl="0" w:tplc="403490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3C470D9"/>
    <w:multiLevelType w:val="hybridMultilevel"/>
    <w:tmpl w:val="BBBCBB0A"/>
    <w:lvl w:ilvl="0" w:tplc="4E16153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4F06F360">
      <w:start w:val="1"/>
      <w:numFmt w:val="lowerRoman"/>
      <w:lvlText w:val="%3."/>
      <w:lvlJc w:val="left"/>
      <w:pPr>
        <w:ind w:left="2340" w:hanging="360"/>
      </w:pPr>
      <w:rPr>
        <w:rFonts w:hint="default"/>
      </w:rPr>
    </w:lvl>
    <w:lvl w:ilvl="3" w:tplc="A68AACC4">
      <w:start w:val="1"/>
      <w:numFmt w:val="upperLetter"/>
      <w:lvlText w:val="(%4)"/>
      <w:lvlJc w:val="left"/>
      <w:pPr>
        <w:ind w:left="2880" w:hanging="360"/>
      </w:pPr>
      <w:rPr>
        <w:rFonts w:hint="default"/>
        <w:b w:val="0"/>
        <w:smallCaps w:val="0"/>
      </w:rPr>
    </w:lvl>
    <w:lvl w:ilvl="4" w:tplc="149ADF90">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306A8C"/>
    <w:multiLevelType w:val="hybridMultilevel"/>
    <w:tmpl w:val="69EC034C"/>
    <w:lvl w:ilvl="0" w:tplc="AD7633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B862803"/>
    <w:multiLevelType w:val="hybridMultilevel"/>
    <w:tmpl w:val="9D80BF4E"/>
    <w:lvl w:ilvl="0" w:tplc="AD3C529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8E56B8"/>
    <w:multiLevelType w:val="hybridMultilevel"/>
    <w:tmpl w:val="4A1A326A"/>
    <w:lvl w:ilvl="0" w:tplc="08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9E1981"/>
    <w:multiLevelType w:val="hybridMultilevel"/>
    <w:tmpl w:val="29B461E8"/>
    <w:lvl w:ilvl="0" w:tplc="7D5EE5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22"/>
  </w:num>
  <w:num w:numId="3">
    <w:abstractNumId w:val="11"/>
  </w:num>
  <w:num w:numId="4">
    <w:abstractNumId w:val="25"/>
  </w:num>
  <w:num w:numId="5">
    <w:abstractNumId w:val="21"/>
  </w:num>
  <w:num w:numId="6">
    <w:abstractNumId w:val="0"/>
  </w:num>
  <w:num w:numId="7">
    <w:abstractNumId w:val="8"/>
  </w:num>
  <w:num w:numId="8">
    <w:abstractNumId w:val="15"/>
  </w:num>
  <w:num w:numId="9">
    <w:abstractNumId w:val="26"/>
  </w:num>
  <w:num w:numId="10">
    <w:abstractNumId w:val="1"/>
  </w:num>
  <w:num w:numId="11">
    <w:abstractNumId w:val="4"/>
  </w:num>
  <w:num w:numId="12">
    <w:abstractNumId w:val="18"/>
  </w:num>
  <w:num w:numId="13">
    <w:abstractNumId w:val="6"/>
  </w:num>
  <w:num w:numId="14">
    <w:abstractNumId w:val="9"/>
  </w:num>
  <w:num w:numId="15">
    <w:abstractNumId w:val="7"/>
  </w:num>
  <w:num w:numId="16">
    <w:abstractNumId w:val="5"/>
  </w:num>
  <w:num w:numId="17">
    <w:abstractNumId w:val="10"/>
  </w:num>
  <w:num w:numId="18">
    <w:abstractNumId w:val="23"/>
  </w:num>
  <w:num w:numId="19">
    <w:abstractNumId w:val="16"/>
  </w:num>
  <w:num w:numId="20">
    <w:abstractNumId w:val="14"/>
  </w:num>
  <w:num w:numId="21">
    <w:abstractNumId w:val="13"/>
  </w:num>
  <w:num w:numId="22">
    <w:abstractNumId w:val="24"/>
  </w:num>
  <w:num w:numId="23">
    <w:abstractNumId w:val="17"/>
  </w:num>
  <w:num w:numId="24">
    <w:abstractNumId w:val="2"/>
  </w:num>
  <w:num w:numId="25">
    <w:abstractNumId w:val="3"/>
  </w:num>
  <w:num w:numId="26">
    <w:abstractNumId w:val="19"/>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4F"/>
    <w:rsid w:val="00496921"/>
    <w:rsid w:val="004A479A"/>
    <w:rsid w:val="00D11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CF16AAE-70C5-4E9E-A650-FD098ACA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24F"/>
    <w:pPr>
      <w:spacing w:after="200" w:line="276" w:lineRule="auto"/>
    </w:pPr>
  </w:style>
  <w:style w:type="paragraph" w:styleId="Heading1">
    <w:name w:val="heading 1"/>
    <w:basedOn w:val="Normal"/>
    <w:next w:val="Normal"/>
    <w:link w:val="Heading1Char"/>
    <w:uiPriority w:val="9"/>
    <w:qFormat/>
    <w:rsid w:val="00D1124F"/>
    <w:pPr>
      <w:keepNext/>
      <w:keepLines/>
      <w:spacing w:before="480" w:after="0"/>
      <w:outlineLvl w:val="0"/>
    </w:pPr>
    <w:rPr>
      <w:rFonts w:asciiTheme="majorHAnsi" w:eastAsiaTheme="majorEastAsia" w:hAnsiTheme="majorHAnsi" w:cstheme="majorBidi"/>
      <w:b/>
      <w:bCs/>
      <w:color w:val="BFBFBF" w:themeColor="accent1" w:themeShade="BF"/>
      <w:sz w:val="28"/>
      <w:szCs w:val="28"/>
    </w:rPr>
  </w:style>
  <w:style w:type="paragraph" w:styleId="Heading2">
    <w:name w:val="heading 2"/>
    <w:basedOn w:val="Normal"/>
    <w:next w:val="Normal"/>
    <w:link w:val="Heading2Char"/>
    <w:uiPriority w:val="9"/>
    <w:unhideWhenUsed/>
    <w:qFormat/>
    <w:rsid w:val="00D1124F"/>
    <w:pPr>
      <w:keepNext/>
      <w:keepLines/>
      <w:spacing w:before="200" w:after="0"/>
      <w:outlineLvl w:val="1"/>
    </w:pPr>
    <w:rPr>
      <w:rFonts w:asciiTheme="majorHAnsi" w:eastAsiaTheme="majorEastAsia" w:hAnsiTheme="majorHAnsi" w:cstheme="majorBidi"/>
      <w:b/>
      <w:bCs/>
      <w:color w:val="FFFFFF" w:themeColor="accent1"/>
      <w:sz w:val="26"/>
      <w:szCs w:val="26"/>
    </w:rPr>
  </w:style>
  <w:style w:type="paragraph" w:styleId="Heading3">
    <w:name w:val="heading 3"/>
    <w:basedOn w:val="Normal"/>
    <w:next w:val="Normal"/>
    <w:link w:val="Heading3Char"/>
    <w:uiPriority w:val="9"/>
    <w:unhideWhenUsed/>
    <w:qFormat/>
    <w:rsid w:val="00D1124F"/>
    <w:pPr>
      <w:keepNext/>
      <w:keepLines/>
      <w:spacing w:before="200" w:after="0"/>
      <w:outlineLvl w:val="2"/>
    </w:pPr>
    <w:rPr>
      <w:rFonts w:asciiTheme="majorHAnsi" w:eastAsiaTheme="majorEastAsia" w:hAnsiTheme="majorHAnsi" w:cstheme="majorBidi"/>
      <w:b/>
      <w:bCs/>
      <w:color w:val="FFFF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24F"/>
    <w:rPr>
      <w:rFonts w:asciiTheme="majorHAnsi" w:eastAsiaTheme="majorEastAsia" w:hAnsiTheme="majorHAnsi" w:cstheme="majorBidi"/>
      <w:b/>
      <w:bCs/>
      <w:color w:val="BFBFBF" w:themeColor="accent1" w:themeShade="BF"/>
      <w:sz w:val="28"/>
      <w:szCs w:val="28"/>
    </w:rPr>
  </w:style>
  <w:style w:type="character" w:customStyle="1" w:styleId="Heading2Char">
    <w:name w:val="Heading 2 Char"/>
    <w:basedOn w:val="DefaultParagraphFont"/>
    <w:link w:val="Heading2"/>
    <w:uiPriority w:val="9"/>
    <w:rsid w:val="00D1124F"/>
    <w:rPr>
      <w:rFonts w:asciiTheme="majorHAnsi" w:eastAsiaTheme="majorEastAsia" w:hAnsiTheme="majorHAnsi" w:cstheme="majorBidi"/>
      <w:b/>
      <w:bCs/>
      <w:color w:val="FFFFFF" w:themeColor="accent1"/>
      <w:sz w:val="26"/>
      <w:szCs w:val="26"/>
    </w:rPr>
  </w:style>
  <w:style w:type="character" w:customStyle="1" w:styleId="Heading3Char">
    <w:name w:val="Heading 3 Char"/>
    <w:basedOn w:val="DefaultParagraphFont"/>
    <w:link w:val="Heading3"/>
    <w:uiPriority w:val="9"/>
    <w:rsid w:val="00D1124F"/>
    <w:rPr>
      <w:rFonts w:asciiTheme="majorHAnsi" w:eastAsiaTheme="majorEastAsia" w:hAnsiTheme="majorHAnsi" w:cstheme="majorBidi"/>
      <w:b/>
      <w:bCs/>
      <w:color w:val="FFFFFF" w:themeColor="accent1"/>
    </w:rPr>
  </w:style>
  <w:style w:type="paragraph" w:styleId="BalloonText">
    <w:name w:val="Balloon Text"/>
    <w:basedOn w:val="Normal"/>
    <w:link w:val="BalloonTextChar"/>
    <w:uiPriority w:val="99"/>
    <w:semiHidden/>
    <w:unhideWhenUsed/>
    <w:rsid w:val="00D11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24F"/>
    <w:rPr>
      <w:rFonts w:ascii="Tahoma" w:hAnsi="Tahoma" w:cs="Tahoma"/>
      <w:sz w:val="16"/>
      <w:szCs w:val="16"/>
    </w:rPr>
  </w:style>
  <w:style w:type="table" w:styleId="TableGrid">
    <w:name w:val="Table Grid"/>
    <w:basedOn w:val="TableNormal"/>
    <w:uiPriority w:val="59"/>
    <w:rsid w:val="00D11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1124F"/>
    <w:pPr>
      <w:outlineLvl w:val="9"/>
    </w:pPr>
    <w:rPr>
      <w:lang w:val="en-US" w:eastAsia="ja-JP"/>
    </w:rPr>
  </w:style>
  <w:style w:type="paragraph" w:styleId="TOC1">
    <w:name w:val="toc 1"/>
    <w:basedOn w:val="Normal"/>
    <w:next w:val="Normal"/>
    <w:autoRedefine/>
    <w:uiPriority w:val="39"/>
    <w:unhideWhenUsed/>
    <w:rsid w:val="00D1124F"/>
    <w:pPr>
      <w:spacing w:after="100"/>
    </w:pPr>
  </w:style>
  <w:style w:type="character" w:styleId="Hyperlink">
    <w:name w:val="Hyperlink"/>
    <w:basedOn w:val="DefaultParagraphFont"/>
    <w:uiPriority w:val="99"/>
    <w:unhideWhenUsed/>
    <w:rsid w:val="00D1124F"/>
    <w:rPr>
      <w:color w:val="0000FF" w:themeColor="hyperlink"/>
      <w:u w:val="single"/>
    </w:rPr>
  </w:style>
  <w:style w:type="paragraph" w:styleId="NoSpacing">
    <w:name w:val="No Spacing"/>
    <w:uiPriority w:val="1"/>
    <w:qFormat/>
    <w:rsid w:val="00D1124F"/>
    <w:pPr>
      <w:spacing w:after="0" w:line="240" w:lineRule="auto"/>
    </w:pPr>
  </w:style>
  <w:style w:type="paragraph" w:styleId="ListParagraph">
    <w:name w:val="List Paragraph"/>
    <w:basedOn w:val="Normal"/>
    <w:link w:val="ListParagraphChar"/>
    <w:uiPriority w:val="34"/>
    <w:qFormat/>
    <w:rsid w:val="00D1124F"/>
    <w:pPr>
      <w:ind w:left="720"/>
      <w:contextualSpacing/>
    </w:pPr>
  </w:style>
  <w:style w:type="character" w:styleId="PlaceholderText">
    <w:name w:val="Placeholder Text"/>
    <w:basedOn w:val="DefaultParagraphFont"/>
    <w:uiPriority w:val="99"/>
    <w:semiHidden/>
    <w:rsid w:val="00D1124F"/>
    <w:rPr>
      <w:color w:val="808080"/>
    </w:rPr>
  </w:style>
  <w:style w:type="paragraph" w:styleId="TOC2">
    <w:name w:val="toc 2"/>
    <w:basedOn w:val="Normal"/>
    <w:next w:val="Normal"/>
    <w:autoRedefine/>
    <w:uiPriority w:val="39"/>
    <w:unhideWhenUsed/>
    <w:rsid w:val="00D1124F"/>
    <w:pPr>
      <w:spacing w:after="100"/>
      <w:ind w:left="220"/>
    </w:pPr>
  </w:style>
  <w:style w:type="character" w:styleId="FootnoteReference">
    <w:name w:val="footnote reference"/>
    <w:uiPriority w:val="99"/>
    <w:rsid w:val="00D1124F"/>
    <w:rPr>
      <w:vertAlign w:val="superscript"/>
    </w:rPr>
  </w:style>
  <w:style w:type="paragraph" w:styleId="FootnoteText">
    <w:name w:val="footnote text"/>
    <w:basedOn w:val="Normal"/>
    <w:link w:val="FootnoteTextChar"/>
    <w:uiPriority w:val="99"/>
    <w:semiHidden/>
    <w:rsid w:val="00D1124F"/>
    <w:pPr>
      <w:spacing w:after="0" w:line="240" w:lineRule="auto"/>
      <w:jc w:val="both"/>
    </w:pPr>
    <w:rPr>
      <w:rFonts w:ascii="Times New Roman" w:eastAsia="Times New Roman" w:hAnsi="Times New Roman" w:cs="Times New Roman"/>
      <w:kern w:val="24"/>
      <w:sz w:val="20"/>
      <w:szCs w:val="20"/>
    </w:rPr>
  </w:style>
  <w:style w:type="character" w:customStyle="1" w:styleId="FootnoteTextChar">
    <w:name w:val="Footnote Text Char"/>
    <w:basedOn w:val="DefaultParagraphFont"/>
    <w:link w:val="FootnoteText"/>
    <w:uiPriority w:val="99"/>
    <w:semiHidden/>
    <w:rsid w:val="00D1124F"/>
    <w:rPr>
      <w:rFonts w:ascii="Times New Roman" w:eastAsia="Times New Roman" w:hAnsi="Times New Roman" w:cs="Times New Roman"/>
      <w:kern w:val="24"/>
      <w:sz w:val="20"/>
      <w:szCs w:val="20"/>
    </w:rPr>
  </w:style>
  <w:style w:type="character" w:styleId="CommentReference">
    <w:name w:val="annotation reference"/>
    <w:uiPriority w:val="99"/>
    <w:semiHidden/>
    <w:unhideWhenUsed/>
    <w:rsid w:val="00D1124F"/>
    <w:rPr>
      <w:sz w:val="16"/>
      <w:szCs w:val="16"/>
    </w:rPr>
  </w:style>
  <w:style w:type="paragraph" w:styleId="CommentText">
    <w:name w:val="annotation text"/>
    <w:basedOn w:val="Normal"/>
    <w:link w:val="CommentTextChar"/>
    <w:uiPriority w:val="99"/>
    <w:semiHidden/>
    <w:unhideWhenUsed/>
    <w:rsid w:val="00D1124F"/>
    <w:pPr>
      <w:spacing w:after="0" w:line="240" w:lineRule="auto"/>
      <w:jc w:val="both"/>
    </w:pPr>
    <w:rPr>
      <w:rFonts w:ascii="Times New Roman" w:eastAsia="Times New Roman" w:hAnsi="Times New Roman" w:cs="Times New Roman"/>
      <w:kern w:val="24"/>
      <w:sz w:val="20"/>
      <w:szCs w:val="20"/>
    </w:rPr>
  </w:style>
  <w:style w:type="character" w:customStyle="1" w:styleId="CommentTextChar">
    <w:name w:val="Comment Text Char"/>
    <w:basedOn w:val="DefaultParagraphFont"/>
    <w:link w:val="CommentText"/>
    <w:uiPriority w:val="99"/>
    <w:semiHidden/>
    <w:rsid w:val="00D1124F"/>
    <w:rPr>
      <w:rFonts w:ascii="Times New Roman" w:eastAsia="Times New Roman" w:hAnsi="Times New Roman" w:cs="Times New Roman"/>
      <w:kern w:val="24"/>
      <w:sz w:val="20"/>
      <w:szCs w:val="20"/>
    </w:rPr>
  </w:style>
  <w:style w:type="paragraph" w:styleId="Header">
    <w:name w:val="header"/>
    <w:basedOn w:val="Normal"/>
    <w:link w:val="HeaderChar"/>
    <w:uiPriority w:val="99"/>
    <w:unhideWhenUsed/>
    <w:rsid w:val="00D11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24F"/>
  </w:style>
  <w:style w:type="paragraph" w:styleId="Footer">
    <w:name w:val="footer"/>
    <w:basedOn w:val="Normal"/>
    <w:link w:val="FooterChar"/>
    <w:uiPriority w:val="99"/>
    <w:unhideWhenUsed/>
    <w:rsid w:val="00D11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24F"/>
  </w:style>
  <w:style w:type="numbering" w:customStyle="1" w:styleId="NoList1">
    <w:name w:val="No List1"/>
    <w:next w:val="NoList"/>
    <w:uiPriority w:val="99"/>
    <w:semiHidden/>
    <w:unhideWhenUsed/>
    <w:rsid w:val="00D1124F"/>
  </w:style>
  <w:style w:type="character" w:styleId="PageNumber">
    <w:name w:val="page number"/>
    <w:basedOn w:val="DefaultParagraphFont"/>
    <w:rsid w:val="00D1124F"/>
  </w:style>
  <w:style w:type="table" w:customStyle="1" w:styleId="TableGrid1">
    <w:name w:val="Table Grid1"/>
    <w:basedOn w:val="TableNormal"/>
    <w:next w:val="TableGrid"/>
    <w:rsid w:val="00D112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124F"/>
    <w:pPr>
      <w:spacing w:after="0" w:line="240" w:lineRule="auto"/>
    </w:pPr>
    <w:rPr>
      <w:rFonts w:ascii="Times New Roman" w:eastAsia="Times New Roman" w:hAnsi="Times New Roman" w:cs="Times New Roman"/>
      <w:kern w:val="24"/>
      <w:sz w:val="24"/>
      <w:szCs w:val="20"/>
    </w:rPr>
  </w:style>
  <w:style w:type="paragraph" w:styleId="CommentSubject">
    <w:name w:val="annotation subject"/>
    <w:basedOn w:val="CommentText"/>
    <w:next w:val="CommentText"/>
    <w:link w:val="CommentSubjectChar"/>
    <w:uiPriority w:val="99"/>
    <w:semiHidden/>
    <w:unhideWhenUsed/>
    <w:rsid w:val="00D1124F"/>
    <w:rPr>
      <w:b/>
      <w:bCs/>
    </w:rPr>
  </w:style>
  <w:style w:type="character" w:customStyle="1" w:styleId="CommentSubjectChar">
    <w:name w:val="Comment Subject Char"/>
    <w:basedOn w:val="CommentTextChar"/>
    <w:link w:val="CommentSubject"/>
    <w:uiPriority w:val="99"/>
    <w:semiHidden/>
    <w:rsid w:val="00D1124F"/>
    <w:rPr>
      <w:rFonts w:ascii="Times New Roman" w:eastAsia="Times New Roman" w:hAnsi="Times New Roman" w:cs="Times New Roman"/>
      <w:b/>
      <w:bCs/>
      <w:kern w:val="24"/>
      <w:sz w:val="20"/>
      <w:szCs w:val="20"/>
    </w:rPr>
  </w:style>
  <w:style w:type="character" w:customStyle="1" w:styleId="ListParagraphChar">
    <w:name w:val="List Paragraph Char"/>
    <w:link w:val="ListParagraph"/>
    <w:uiPriority w:val="34"/>
    <w:locked/>
    <w:rsid w:val="00D1124F"/>
  </w:style>
  <w:style w:type="paragraph" w:styleId="Title">
    <w:name w:val="Title"/>
    <w:basedOn w:val="Normal"/>
    <w:next w:val="Normal"/>
    <w:link w:val="TitleChar"/>
    <w:uiPriority w:val="10"/>
    <w:qFormat/>
    <w:rsid w:val="00D1124F"/>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D1124F"/>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D1124F"/>
    <w:pPr>
      <w:numPr>
        <w:ilvl w:val="1"/>
      </w:numPr>
      <w:spacing w:after="160" w:line="259" w:lineRule="auto"/>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D1124F"/>
    <w:rPr>
      <w:rFonts w:eastAsiaTheme="minorEastAsia" w:cs="Times New Roman"/>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5">
      <a:dk1>
        <a:sysClr val="windowText" lastClr="000000"/>
      </a:dk1>
      <a:lt1>
        <a:srgbClr val="000000"/>
      </a:lt1>
      <a:dk2>
        <a:srgbClr val="FFFFFF"/>
      </a:dk2>
      <a:lt2>
        <a:srgbClr val="FFFFFF"/>
      </a:lt2>
      <a:accent1>
        <a:srgbClr val="FFFFFF"/>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EC702-9452-4849-A585-934EE6F3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24</Pages>
  <Words>6962</Words>
  <Characters>39685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 AIF offering document</dc:title>
  <dc:subject>Date of Issue – 27.12.2016</dc:subject>
  <dc:creator>Isabelle Agius</dc:creator>
  <cp:keywords/>
  <dc:description/>
  <cp:lastModifiedBy>Isabelle Agius</cp:lastModifiedBy>
  <cp:revision>1</cp:revision>
  <dcterms:created xsi:type="dcterms:W3CDTF">2016-12-27T12:19:00Z</dcterms:created>
  <dcterms:modified xsi:type="dcterms:W3CDTF">2016-12-27T13:19:00Z</dcterms:modified>
</cp:coreProperties>
</file>