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AE" w:rsidRPr="002D1037" w:rsidRDefault="00B12BAE" w:rsidP="00B12BAE">
      <w:pPr>
        <w:pStyle w:val="Heading1"/>
        <w:spacing w:line="276" w:lineRule="auto"/>
      </w:pPr>
      <w:bookmarkStart w:id="0" w:name="_Toc513798978"/>
      <w:bookmarkStart w:id="1" w:name="_Toc515349213"/>
      <w:r w:rsidRPr="002D1037">
        <w:t>Glossary</w:t>
      </w:r>
      <w:bookmarkEnd w:id="0"/>
      <w:bookmarkEnd w:id="1"/>
    </w:p>
    <w:p w:rsidR="00B12BAE" w:rsidRDefault="00B12BAE" w:rsidP="00B12BAE">
      <w:pPr>
        <w:jc w:val="both"/>
        <w:rPr>
          <w:rFonts w:ascii="Calibri" w:hAnsi="Calibri" w:cs="Times New Roman"/>
          <w:b/>
        </w:rPr>
      </w:pPr>
    </w:p>
    <w:p w:rsidR="00B12BAE" w:rsidRPr="00B12BAE" w:rsidRDefault="00B12BAE" w:rsidP="00B12BAE">
      <w:pPr>
        <w:jc w:val="both"/>
        <w:rPr>
          <w:rFonts w:ascii="Calibri" w:hAnsi="Calibri" w:cs="Times New Roman"/>
          <w:b/>
          <w:i/>
        </w:rPr>
      </w:pPr>
      <w:r w:rsidRPr="00B12BAE">
        <w:rPr>
          <w:rFonts w:ascii="Calibri" w:hAnsi="Calibri" w:cs="Times New Roman"/>
          <w:b/>
          <w:i/>
        </w:rPr>
        <w:t>All the terminology defined in this glossary shall have the same meaning both in the Personal Que</w:t>
      </w:r>
      <w:bookmarkStart w:id="2" w:name="_GoBack"/>
      <w:bookmarkEnd w:id="2"/>
      <w:r w:rsidRPr="00B12BAE">
        <w:rPr>
          <w:rFonts w:ascii="Calibri" w:hAnsi="Calibri" w:cs="Times New Roman"/>
          <w:b/>
          <w:i/>
        </w:rPr>
        <w:t>stionnaire and the Guidelines to the Personal Questionnaire.</w:t>
      </w:r>
    </w:p>
    <w:p w:rsidR="00B12BAE" w:rsidRDefault="00B12BAE" w:rsidP="00B12BAE">
      <w:pPr>
        <w:jc w:val="both"/>
        <w:rPr>
          <w:rFonts w:ascii="Calibri" w:hAnsi="Calibri" w:cs="Times New Roman"/>
          <w:b/>
        </w:rPr>
      </w:pPr>
    </w:p>
    <w:p w:rsidR="00B12BAE" w:rsidRPr="001B2BEF" w:rsidRDefault="00B12BAE" w:rsidP="00B12BAE">
      <w:pPr>
        <w:jc w:val="both"/>
        <w:rPr>
          <w:rFonts w:ascii="Calibri" w:hAnsi="Calibri" w:cs="Times New Roman"/>
        </w:rPr>
      </w:pPr>
      <w:r w:rsidRPr="002D1037">
        <w:rPr>
          <w:rFonts w:ascii="Calibri" w:hAnsi="Calibri" w:cs="Times New Roman"/>
          <w:b/>
        </w:rPr>
        <w:t>Applicant</w:t>
      </w:r>
      <w:r>
        <w:rPr>
          <w:rFonts w:ascii="Calibri" w:hAnsi="Calibri" w:cs="Times New Roman"/>
          <w:b/>
        </w:rPr>
        <w:t>(s)</w:t>
      </w:r>
      <w:r w:rsidRPr="002D1037">
        <w:rPr>
          <w:rFonts w:ascii="Calibri" w:hAnsi="Calibri" w:cs="Times New Roman"/>
        </w:rPr>
        <w:t xml:space="preserve"> – An Applicant is the person who is being proposed</w:t>
      </w:r>
      <w:r>
        <w:rPr>
          <w:rFonts w:ascii="Calibri" w:hAnsi="Calibri" w:cs="Times New Roman"/>
        </w:rPr>
        <w:t xml:space="preserve"> by an Entity</w:t>
      </w:r>
      <w:r w:rsidRPr="002D1037">
        <w:rPr>
          <w:rFonts w:ascii="Calibri" w:hAnsi="Calibri" w:cs="Times New Roman"/>
        </w:rPr>
        <w:t xml:space="preserve"> to hold a position which requires the prior approval of the MFSA and therefore is subject to completion of the PQ. </w:t>
      </w:r>
    </w:p>
    <w:p w:rsidR="00B12BAE" w:rsidRDefault="00B12BAE" w:rsidP="00B12BAE">
      <w:pPr>
        <w:jc w:val="both"/>
        <w:rPr>
          <w:rFonts w:ascii="Calibri" w:hAnsi="Calibri" w:cs="Times New Roman"/>
          <w:b/>
        </w:rPr>
      </w:pPr>
      <w:r>
        <w:rPr>
          <w:rFonts w:ascii="Calibri" w:hAnsi="Calibri" w:cs="Times New Roman"/>
          <w:b/>
        </w:rPr>
        <w:t xml:space="preserve">Controllers - </w:t>
      </w:r>
      <w:r w:rsidRPr="008E32D7">
        <w:rPr>
          <w:rFonts w:ascii="Calibri" w:hAnsi="Calibri" w:cs="Times New Roman"/>
        </w:rPr>
        <w:t xml:space="preserve">persons who, alone or together with others, exercise the power to determine the financial and operating policies of the </w:t>
      </w:r>
      <w:r>
        <w:rPr>
          <w:rFonts w:ascii="Calibri" w:hAnsi="Calibri" w:cs="Times New Roman"/>
        </w:rPr>
        <w:t>Entity.</w:t>
      </w:r>
    </w:p>
    <w:p w:rsidR="00B12BAE" w:rsidRDefault="00B12BAE" w:rsidP="00B12BAE">
      <w:pPr>
        <w:jc w:val="both"/>
        <w:rPr>
          <w:rFonts w:ascii="Calibri" w:hAnsi="Calibri" w:cs="Times New Roman"/>
        </w:rPr>
      </w:pPr>
      <w:r w:rsidRPr="00B540F8">
        <w:rPr>
          <w:rFonts w:ascii="Calibri" w:hAnsi="Calibri" w:cs="Times New Roman"/>
          <w:b/>
        </w:rPr>
        <w:t>Close Relative</w:t>
      </w:r>
      <w:r>
        <w:rPr>
          <w:rFonts w:ascii="Calibri" w:hAnsi="Calibri" w:cs="Times New Roman"/>
        </w:rPr>
        <w:t xml:space="preserve"> - includes</w:t>
      </w:r>
      <w:r w:rsidRPr="00196C9C">
        <w:rPr>
          <w:rFonts w:ascii="Calibri" w:hAnsi="Calibri" w:cs="Times New Roman"/>
        </w:rPr>
        <w:t xml:space="preserve"> spouse,</w:t>
      </w:r>
      <w:r>
        <w:rPr>
          <w:rFonts w:ascii="Calibri" w:hAnsi="Calibri" w:cs="Times New Roman"/>
        </w:rPr>
        <w:t xml:space="preserve"> civil</w:t>
      </w:r>
      <w:r w:rsidRPr="00196C9C">
        <w:rPr>
          <w:rFonts w:ascii="Calibri" w:hAnsi="Calibri" w:cs="Times New Roman"/>
        </w:rPr>
        <w:t xml:space="preserve"> partner, cohabitee, child,</w:t>
      </w:r>
      <w:r>
        <w:rPr>
          <w:rFonts w:ascii="Calibri" w:hAnsi="Calibri" w:cs="Times New Roman"/>
        </w:rPr>
        <w:t xml:space="preserve"> step-child, parent, legal guardian. </w:t>
      </w:r>
    </w:p>
    <w:p w:rsidR="00B12BAE" w:rsidRPr="00B540F8" w:rsidRDefault="00B12BAE" w:rsidP="00B12BAE">
      <w:pPr>
        <w:jc w:val="both"/>
        <w:rPr>
          <w:rFonts w:ascii="Calibri" w:hAnsi="Calibri" w:cs="Times New Roman"/>
        </w:rPr>
      </w:pPr>
      <w:r w:rsidRPr="00B540F8">
        <w:rPr>
          <w:rFonts w:ascii="Calibri" w:hAnsi="Calibri" w:cs="Times New Roman"/>
          <w:b/>
        </w:rPr>
        <w:t>Close Connection</w:t>
      </w:r>
      <w:r>
        <w:rPr>
          <w:rFonts w:ascii="Calibri" w:hAnsi="Calibri" w:cs="Times New Roman"/>
        </w:rPr>
        <w:t xml:space="preserve"> </w:t>
      </w:r>
      <w:r w:rsidRPr="003833E0">
        <w:rPr>
          <w:rFonts w:ascii="Calibri" w:hAnsi="Calibri" w:cs="Times New Roman"/>
          <w:b/>
        </w:rPr>
        <w:t>or Close links</w:t>
      </w:r>
      <w:r>
        <w:rPr>
          <w:rFonts w:ascii="Calibri" w:hAnsi="Calibri" w:cs="Times New Roman"/>
        </w:rPr>
        <w:t xml:space="preserve"> – an Applicant is considered as connected with an Entity if either the Applicant in his personal capacity or any Close Relative has direct or indirect control within an Entity. This is to be interpreted in accordance with the respective financial legislation in connection within the Entity with which this PQ is being completed and submitted. Furthermore, any interest or relationship (whether financial or non-financial) are also considered as a connection/link and should be declared accordingly.  </w:t>
      </w:r>
    </w:p>
    <w:p w:rsidR="00B12BAE" w:rsidRPr="002D1037" w:rsidRDefault="00B12BAE" w:rsidP="00B12BAE">
      <w:pPr>
        <w:jc w:val="both"/>
        <w:rPr>
          <w:rFonts w:ascii="Calibri" w:hAnsi="Calibri" w:cs="Times New Roman"/>
        </w:rPr>
      </w:pPr>
      <w:r>
        <w:rPr>
          <w:rFonts w:ascii="Calibri" w:hAnsi="Calibri" w:cs="Times New Roman"/>
          <w:b/>
        </w:rPr>
        <w:t>Entity/Entities</w:t>
      </w:r>
      <w:r w:rsidRPr="002D1037">
        <w:rPr>
          <w:rFonts w:ascii="Calibri" w:hAnsi="Calibri" w:cs="Times New Roman"/>
        </w:rPr>
        <w:t xml:space="preserve"> – any individual or </w:t>
      </w:r>
      <w:r>
        <w:rPr>
          <w:rFonts w:ascii="Calibri" w:hAnsi="Calibri" w:cs="Times New Roman"/>
        </w:rPr>
        <w:t>company</w:t>
      </w:r>
      <w:r w:rsidRPr="002D1037">
        <w:rPr>
          <w:rFonts w:ascii="Calibri" w:hAnsi="Calibri" w:cs="Times New Roman"/>
        </w:rPr>
        <w:t xml:space="preserve"> that is already licensed, authorised, recognised or registered and supervised by the MFSA, or is otherwise in the process of obtaining a licence, authorisation, recognition or registration under any one or more of the legislative frameworks indicated under ‘Laws’.</w:t>
      </w:r>
    </w:p>
    <w:p w:rsidR="00B12BAE" w:rsidRPr="00FF0A5E" w:rsidRDefault="00B12BAE" w:rsidP="00B12BAE">
      <w:pPr>
        <w:jc w:val="both"/>
        <w:rPr>
          <w:rFonts w:ascii="Calibri" w:hAnsi="Calibri" w:cs="Times New Roman"/>
        </w:rPr>
      </w:pPr>
      <w:r>
        <w:rPr>
          <w:rFonts w:ascii="Calibri" w:hAnsi="Calibri" w:cs="Times New Roman"/>
          <w:b/>
        </w:rPr>
        <w:t xml:space="preserve">Guidelines </w:t>
      </w:r>
      <w:r>
        <w:rPr>
          <w:rFonts w:ascii="Calibri" w:hAnsi="Calibri" w:cs="Times New Roman"/>
        </w:rPr>
        <w:t xml:space="preserve">– means </w:t>
      </w:r>
      <w:r w:rsidRPr="00FF0A5E">
        <w:rPr>
          <w:rFonts w:ascii="Calibri" w:hAnsi="Calibri" w:cs="Times New Roman"/>
        </w:rPr>
        <w:t>the ‘Guidelines to the Personal Questionnaire’ issued</w:t>
      </w:r>
      <w:r>
        <w:rPr>
          <w:rFonts w:ascii="Calibri" w:hAnsi="Calibri" w:cs="Times New Roman"/>
        </w:rPr>
        <w:t xml:space="preserve"> by the MFSA.</w:t>
      </w:r>
    </w:p>
    <w:p w:rsidR="00B12BAE" w:rsidRPr="002D1037" w:rsidRDefault="00B12BAE" w:rsidP="00B12BAE">
      <w:pPr>
        <w:jc w:val="both"/>
        <w:rPr>
          <w:rFonts w:ascii="Calibri" w:hAnsi="Calibri" w:cs="Times New Roman"/>
        </w:rPr>
      </w:pPr>
      <w:r w:rsidRPr="002D1037">
        <w:rPr>
          <w:rFonts w:ascii="Calibri" w:hAnsi="Calibri" w:cs="Times New Roman"/>
          <w:b/>
        </w:rPr>
        <w:t>Laws</w:t>
      </w:r>
      <w:r w:rsidRPr="002D1037">
        <w:rPr>
          <w:rFonts w:ascii="Calibri" w:hAnsi="Calibri" w:cs="Times New Roman"/>
        </w:rPr>
        <w:t xml:space="preserve"> – in the context of this PQ, </w:t>
      </w:r>
      <w:r>
        <w:rPr>
          <w:rFonts w:ascii="Calibri" w:hAnsi="Calibri" w:cs="Times New Roman"/>
        </w:rPr>
        <w:t xml:space="preserve">this term shall be understood as </w:t>
      </w:r>
      <w:r w:rsidRPr="002D1037">
        <w:rPr>
          <w:rFonts w:ascii="Calibri" w:hAnsi="Calibri" w:cs="Times New Roman"/>
        </w:rPr>
        <w:t>refer</w:t>
      </w:r>
      <w:r>
        <w:rPr>
          <w:rFonts w:ascii="Calibri" w:hAnsi="Calibri" w:cs="Times New Roman"/>
        </w:rPr>
        <w:t>ring</w:t>
      </w:r>
      <w:r w:rsidRPr="002D1037">
        <w:rPr>
          <w:rFonts w:ascii="Calibri" w:hAnsi="Calibri" w:cs="Times New Roman"/>
        </w:rPr>
        <w:t xml:space="preserve"> to the legislation </w:t>
      </w:r>
      <w:r>
        <w:rPr>
          <w:rFonts w:ascii="Calibri" w:hAnsi="Calibri" w:cs="Times New Roman"/>
        </w:rPr>
        <w:t xml:space="preserve"> in terms of</w:t>
      </w:r>
      <w:r w:rsidRPr="002D1037">
        <w:rPr>
          <w:rFonts w:ascii="Calibri" w:hAnsi="Calibri" w:cs="Times New Roman"/>
        </w:rPr>
        <w:t xml:space="preserve"> which the MFSA issues  Licences, Recognition</w:t>
      </w:r>
      <w:r>
        <w:rPr>
          <w:rFonts w:ascii="Calibri" w:hAnsi="Calibri" w:cs="Times New Roman"/>
        </w:rPr>
        <w:t xml:space="preserve"> Certificates</w:t>
      </w:r>
      <w:r w:rsidRPr="002D1037">
        <w:rPr>
          <w:rFonts w:ascii="Calibri" w:hAnsi="Calibri" w:cs="Times New Roman"/>
        </w:rPr>
        <w:t xml:space="preserve">, Registrations or Authorisations, and </w:t>
      </w:r>
      <w:r>
        <w:rPr>
          <w:rFonts w:ascii="Calibri" w:hAnsi="Calibri" w:cs="Times New Roman"/>
        </w:rPr>
        <w:t xml:space="preserve">shall </w:t>
      </w:r>
      <w:r w:rsidRPr="002D1037">
        <w:rPr>
          <w:rFonts w:ascii="Calibri" w:hAnsi="Calibri" w:cs="Times New Roman"/>
        </w:rPr>
        <w:t xml:space="preserve">include, the Banking Act (Chapter 371), the Financial Institutions Act (Chapter 376), the Investment Services Act (Chapter 370), the Insurance Business Act (Chapter 403), the Insurance Intermediaries Act (Chapter 487), the Retirement Pensions Act (Chapter 514), the Trusts and Trustees Act (Chapter 331), the Company Services Providers Act (Chapter 529) and any legislation substituting or amending the above, together with any rules and regulations issued thereunder. </w:t>
      </w:r>
    </w:p>
    <w:p w:rsidR="00B12BAE" w:rsidRPr="002D1037" w:rsidRDefault="00B12BAE" w:rsidP="00B12BAE">
      <w:pPr>
        <w:jc w:val="both"/>
        <w:rPr>
          <w:rFonts w:ascii="Calibri" w:hAnsi="Calibri" w:cs="Times New Roman"/>
        </w:rPr>
      </w:pPr>
      <w:r w:rsidRPr="002D1037">
        <w:rPr>
          <w:rFonts w:ascii="Calibri" w:hAnsi="Calibri" w:cs="Times New Roman"/>
          <w:b/>
        </w:rPr>
        <w:t>MFSA</w:t>
      </w:r>
      <w:r w:rsidRPr="002D1037">
        <w:rPr>
          <w:rFonts w:ascii="Calibri" w:hAnsi="Calibri" w:cs="Times New Roman"/>
        </w:rPr>
        <w:t xml:space="preserve"> – </w:t>
      </w:r>
      <w:r>
        <w:rPr>
          <w:rFonts w:ascii="Calibri" w:hAnsi="Calibri" w:cs="Times New Roman"/>
        </w:rPr>
        <w:t xml:space="preserve">shall be understood as referring </w:t>
      </w:r>
      <w:r w:rsidRPr="002D1037">
        <w:rPr>
          <w:rFonts w:ascii="Calibri" w:hAnsi="Calibri" w:cs="Times New Roman"/>
        </w:rPr>
        <w:t>to the Malta Financial Services Authority</w:t>
      </w:r>
      <w:r>
        <w:rPr>
          <w:rFonts w:ascii="Calibri" w:hAnsi="Calibri" w:cs="Times New Roman"/>
        </w:rPr>
        <w:t>.</w:t>
      </w:r>
    </w:p>
    <w:p w:rsidR="00B12BAE" w:rsidRDefault="00B12BAE" w:rsidP="00B12BAE">
      <w:pPr>
        <w:jc w:val="both"/>
        <w:rPr>
          <w:rFonts w:ascii="Calibri" w:hAnsi="Calibri" w:cs="Times New Roman"/>
        </w:rPr>
      </w:pPr>
      <w:r w:rsidRPr="002D1037">
        <w:rPr>
          <w:rFonts w:ascii="Calibri" w:hAnsi="Calibri" w:cs="Times New Roman"/>
          <w:b/>
        </w:rPr>
        <w:t>PQ</w:t>
      </w:r>
      <w:r w:rsidRPr="002D1037">
        <w:rPr>
          <w:rFonts w:ascii="Calibri" w:hAnsi="Calibri" w:cs="Times New Roman"/>
        </w:rPr>
        <w:t xml:space="preserve"> – </w:t>
      </w:r>
      <w:r>
        <w:rPr>
          <w:rFonts w:ascii="Calibri" w:hAnsi="Calibri" w:cs="Times New Roman"/>
        </w:rPr>
        <w:t>shall be understood as referring to</w:t>
      </w:r>
      <w:r w:rsidRPr="002D1037">
        <w:rPr>
          <w:rFonts w:ascii="Calibri" w:hAnsi="Calibri" w:cs="Times New Roman"/>
        </w:rPr>
        <w:t xml:space="preserve"> Personal Questionnaire</w:t>
      </w:r>
      <w:r>
        <w:rPr>
          <w:rFonts w:ascii="Calibri" w:hAnsi="Calibri" w:cs="Times New Roman"/>
        </w:rPr>
        <w:t>.</w:t>
      </w:r>
    </w:p>
    <w:p w:rsidR="00B12BAE" w:rsidRDefault="00B12BAE" w:rsidP="00B12BAE">
      <w:pPr>
        <w:jc w:val="both"/>
        <w:rPr>
          <w:rFonts w:ascii="Calibri" w:hAnsi="Calibri" w:cs="Times New Roman"/>
        </w:rPr>
      </w:pPr>
      <w:r w:rsidRPr="00570EFC">
        <w:rPr>
          <w:rFonts w:ascii="Calibri" w:hAnsi="Calibri" w:cs="Times New Roman"/>
          <w:b/>
        </w:rPr>
        <w:t>Qualifying Shareholder</w:t>
      </w:r>
      <w:r>
        <w:rPr>
          <w:rFonts w:ascii="Calibri" w:hAnsi="Calibri" w:cs="Times New Roman"/>
          <w:b/>
        </w:rPr>
        <w:t>s</w:t>
      </w:r>
      <w:r w:rsidRPr="00570EFC">
        <w:rPr>
          <w:rFonts w:ascii="Calibri" w:hAnsi="Calibri" w:cs="Times New Roman"/>
        </w:rPr>
        <w:t xml:space="preserve"> – a</w:t>
      </w:r>
      <w:r>
        <w:rPr>
          <w:rFonts w:ascii="Calibri" w:hAnsi="Calibri" w:cs="Times New Roman"/>
        </w:rPr>
        <w:t>ny person who has a q</w:t>
      </w:r>
      <w:r w:rsidRPr="00570EFC">
        <w:rPr>
          <w:rFonts w:ascii="Calibri" w:hAnsi="Calibri" w:cs="Times New Roman"/>
        </w:rPr>
        <w:t xml:space="preserve">ualifying </w:t>
      </w:r>
      <w:r>
        <w:rPr>
          <w:rFonts w:ascii="Calibri" w:hAnsi="Calibri" w:cs="Times New Roman"/>
        </w:rPr>
        <w:t>s</w:t>
      </w:r>
      <w:r w:rsidRPr="00570EFC">
        <w:rPr>
          <w:rFonts w:ascii="Calibri" w:hAnsi="Calibri" w:cs="Times New Roman"/>
        </w:rPr>
        <w:t>hareholding as defined in the Laws</w:t>
      </w:r>
      <w:r>
        <w:rPr>
          <w:rFonts w:ascii="Calibri" w:hAnsi="Calibri" w:cs="Times New Roman"/>
        </w:rPr>
        <w:t>.</w:t>
      </w:r>
    </w:p>
    <w:p w:rsidR="00B12BAE" w:rsidRDefault="00B12BAE" w:rsidP="00B12BAE">
      <w:pPr>
        <w:jc w:val="both"/>
        <w:rPr>
          <w:rFonts w:ascii="Calibri" w:hAnsi="Calibri"/>
        </w:rPr>
      </w:pPr>
      <w:r w:rsidRPr="006F018C">
        <w:rPr>
          <w:rFonts w:ascii="Calibri" w:hAnsi="Calibri" w:cs="Times New Roman"/>
          <w:b/>
        </w:rPr>
        <w:t xml:space="preserve">Regulatory </w:t>
      </w:r>
      <w:r>
        <w:rPr>
          <w:rFonts w:ascii="Calibri" w:hAnsi="Calibri" w:cs="Times New Roman"/>
          <w:b/>
        </w:rPr>
        <w:t>Authority</w:t>
      </w:r>
      <w:r>
        <w:rPr>
          <w:rFonts w:ascii="Calibri" w:hAnsi="Calibri" w:cs="Times New Roman"/>
        </w:rPr>
        <w:t>/</w:t>
      </w:r>
      <w:r w:rsidRPr="006F018C">
        <w:rPr>
          <w:rFonts w:ascii="Calibri" w:hAnsi="Calibri" w:cs="Times New Roman"/>
          <w:b/>
        </w:rPr>
        <w:t>Authorities</w:t>
      </w:r>
      <w:r>
        <w:rPr>
          <w:rFonts w:ascii="Calibri" w:hAnsi="Calibri" w:cs="Times New Roman"/>
        </w:rPr>
        <w:t xml:space="preserve">– means the body or bodies designated by a Member State or a third country to regulate and supervise entities providing a regulated activity. </w:t>
      </w:r>
    </w:p>
    <w:sectPr w:rsidR="00B12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AE"/>
    <w:rsid w:val="000705CB"/>
    <w:rsid w:val="004C472B"/>
    <w:rsid w:val="006E5EEE"/>
    <w:rsid w:val="00B1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0212F-729C-43EC-B848-79673C0B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BAE"/>
  </w:style>
  <w:style w:type="paragraph" w:styleId="Heading1">
    <w:name w:val="heading 1"/>
    <w:basedOn w:val="Normal"/>
    <w:next w:val="Normal"/>
    <w:link w:val="Heading1Char"/>
    <w:uiPriority w:val="9"/>
    <w:qFormat/>
    <w:rsid w:val="00B12BAE"/>
    <w:pPr>
      <w:keepNext/>
      <w:keepLines/>
      <w:pBdr>
        <w:bottom w:val="single" w:sz="4" w:space="2" w:color="ED7D31" w:themeColor="accent2"/>
      </w:pBdr>
      <w:spacing w:before="360" w:after="120" w:line="240" w:lineRule="auto"/>
      <w:outlineLvl w:val="0"/>
    </w:pPr>
    <w:rPr>
      <w:rFonts w:ascii="Garamond" w:eastAsiaTheme="majorEastAsia" w:hAnsi="Garamond" w:cstheme="majorBidi"/>
      <w:b/>
      <w:caps/>
      <w:color w:val="C0000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BAE"/>
    <w:rPr>
      <w:rFonts w:ascii="Garamond" w:eastAsiaTheme="majorEastAsia" w:hAnsi="Garamond" w:cstheme="majorBidi"/>
      <w:b/>
      <w:caps/>
      <w:color w:val="C0000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Bugeja</dc:creator>
  <cp:keywords/>
  <dc:description/>
  <cp:lastModifiedBy>Stephanie Bugeja</cp:lastModifiedBy>
  <cp:revision>3</cp:revision>
  <dcterms:created xsi:type="dcterms:W3CDTF">2018-08-14T05:23:00Z</dcterms:created>
  <dcterms:modified xsi:type="dcterms:W3CDTF">2018-10-31T11:04:00Z</dcterms:modified>
</cp:coreProperties>
</file>