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A8E8" w14:textId="77777777" w:rsidR="00F62BB6" w:rsidRDefault="000A3E9B" w:rsidP="00F62BB6">
      <w:pPr>
        <w:pStyle w:val="04aNumeration"/>
        <w:numPr>
          <w:ilvl w:val="0"/>
          <w:numId w:val="0"/>
        </w:numPr>
        <w:tabs>
          <w:tab w:val="left" w:pos="720"/>
        </w:tabs>
        <w:ind w:left="644"/>
        <w:jc w:val="center"/>
        <w:rPr>
          <w:b/>
          <w:szCs w:val="20"/>
        </w:rPr>
      </w:pPr>
    </w:p>
    <w:p w14:paraId="0F368FF2" w14:textId="77777777" w:rsidR="00F62BB6" w:rsidRDefault="000A3E9B" w:rsidP="00F62BB6">
      <w:pPr>
        <w:pStyle w:val="04aNumeration"/>
        <w:numPr>
          <w:ilvl w:val="0"/>
          <w:numId w:val="0"/>
        </w:numPr>
        <w:tabs>
          <w:tab w:val="left" w:pos="720"/>
        </w:tabs>
        <w:ind w:left="644"/>
        <w:rPr>
          <w:b/>
          <w:szCs w:val="20"/>
        </w:rPr>
      </w:pPr>
    </w:p>
    <w:p w14:paraId="3B3CEB37" w14:textId="77777777" w:rsidR="00F62BB6" w:rsidRPr="00F62BB6" w:rsidRDefault="003A1FB2" w:rsidP="00F62BB6">
      <w:pPr>
        <w:pStyle w:val="04aNumeration"/>
        <w:numPr>
          <w:ilvl w:val="0"/>
          <w:numId w:val="0"/>
        </w:numPr>
        <w:tabs>
          <w:tab w:val="left" w:pos="720"/>
        </w:tabs>
        <w:jc w:val="center"/>
        <w:rPr>
          <w:rFonts w:ascii="Times New Roman" w:hAnsi="Times New Roman"/>
          <w:b/>
          <w:sz w:val="40"/>
          <w:szCs w:val="40"/>
        </w:rPr>
      </w:pPr>
      <w:r w:rsidRPr="00F62BB6">
        <w:rPr>
          <w:rFonts w:ascii="Times New Roman" w:hAnsi="Times New Roman"/>
          <w:b/>
          <w:sz w:val="40"/>
          <w:szCs w:val="40"/>
        </w:rPr>
        <w:t>INVESTMENT SERVICES RULES FOR ALTERNATIVE INVESTMENT FUNDS</w:t>
      </w:r>
    </w:p>
    <w:p w14:paraId="2B186E94" w14:textId="77777777" w:rsidR="00F62BB6" w:rsidRPr="00F62BB6" w:rsidRDefault="000A3E9B" w:rsidP="00F62BB6">
      <w:pPr>
        <w:pStyle w:val="04aNumeration"/>
        <w:numPr>
          <w:ilvl w:val="0"/>
          <w:numId w:val="0"/>
        </w:numPr>
        <w:tabs>
          <w:tab w:val="left" w:pos="720"/>
        </w:tabs>
        <w:jc w:val="center"/>
        <w:rPr>
          <w:rFonts w:ascii="Times New Roman" w:hAnsi="Times New Roman"/>
          <w:b/>
          <w:sz w:val="40"/>
          <w:szCs w:val="40"/>
        </w:rPr>
      </w:pPr>
    </w:p>
    <w:p w14:paraId="6356F62F" w14:textId="77777777" w:rsidR="00F62BB6" w:rsidRDefault="000A3E9B" w:rsidP="00F62BB6">
      <w:pPr>
        <w:pStyle w:val="04aNumeration"/>
        <w:numPr>
          <w:ilvl w:val="0"/>
          <w:numId w:val="0"/>
        </w:numPr>
        <w:tabs>
          <w:tab w:val="left" w:pos="720"/>
        </w:tabs>
        <w:jc w:val="center"/>
        <w:rPr>
          <w:rFonts w:ascii="Times New Roman" w:hAnsi="Times New Roman"/>
          <w:b/>
          <w:sz w:val="40"/>
          <w:szCs w:val="40"/>
        </w:rPr>
      </w:pPr>
    </w:p>
    <w:p w14:paraId="1A2F61C9" w14:textId="77777777" w:rsidR="00F62BB6" w:rsidRDefault="000A3E9B" w:rsidP="00F62BB6">
      <w:pPr>
        <w:pStyle w:val="04aNumeration"/>
        <w:numPr>
          <w:ilvl w:val="0"/>
          <w:numId w:val="0"/>
        </w:numPr>
        <w:tabs>
          <w:tab w:val="left" w:pos="720"/>
        </w:tabs>
        <w:jc w:val="center"/>
        <w:rPr>
          <w:rFonts w:ascii="Times New Roman" w:hAnsi="Times New Roman"/>
          <w:b/>
          <w:sz w:val="40"/>
          <w:szCs w:val="40"/>
        </w:rPr>
      </w:pPr>
    </w:p>
    <w:p w14:paraId="26C72766" w14:textId="77777777" w:rsidR="00F62BB6" w:rsidRDefault="003A1FB2" w:rsidP="00F62BB6">
      <w:pPr>
        <w:pStyle w:val="04aNumeration"/>
        <w:numPr>
          <w:ilvl w:val="0"/>
          <w:numId w:val="0"/>
        </w:numPr>
        <w:tabs>
          <w:tab w:val="left" w:pos="720"/>
        </w:tabs>
        <w:jc w:val="center"/>
        <w:rPr>
          <w:rFonts w:ascii="Times New Roman" w:hAnsi="Times New Roman"/>
          <w:b/>
          <w:sz w:val="40"/>
          <w:szCs w:val="40"/>
        </w:rPr>
      </w:pPr>
      <w:r w:rsidRPr="00F62BB6">
        <w:rPr>
          <w:rFonts w:ascii="Times New Roman" w:hAnsi="Times New Roman"/>
          <w:b/>
          <w:sz w:val="40"/>
          <w:szCs w:val="40"/>
        </w:rPr>
        <w:t>S</w:t>
      </w:r>
      <w:r>
        <w:rPr>
          <w:rFonts w:ascii="Times New Roman" w:hAnsi="Times New Roman"/>
          <w:b/>
          <w:sz w:val="40"/>
          <w:szCs w:val="40"/>
        </w:rPr>
        <w:t xml:space="preserve">chedule </w:t>
      </w:r>
      <w:r w:rsidRPr="00F62BB6">
        <w:rPr>
          <w:rFonts w:ascii="Times New Roman" w:hAnsi="Times New Roman"/>
          <w:b/>
          <w:sz w:val="40"/>
          <w:szCs w:val="40"/>
        </w:rPr>
        <w:t>4</w:t>
      </w:r>
    </w:p>
    <w:p w14:paraId="413F438E" w14:textId="77777777" w:rsidR="00F62BB6" w:rsidRDefault="003A1FB2" w:rsidP="00F62BB6">
      <w:pPr>
        <w:pStyle w:val="04aNumeration"/>
        <w:numPr>
          <w:ilvl w:val="0"/>
          <w:numId w:val="0"/>
        </w:numPr>
        <w:tabs>
          <w:tab w:val="left" w:pos="720"/>
        </w:tabs>
        <w:jc w:val="center"/>
        <w:rPr>
          <w:rFonts w:ascii="Times New Roman" w:hAnsi="Times New Roman"/>
          <w:b/>
          <w:sz w:val="40"/>
          <w:szCs w:val="40"/>
        </w:rPr>
      </w:pPr>
      <w:r>
        <w:rPr>
          <w:rFonts w:ascii="Times New Roman" w:hAnsi="Times New Roman"/>
          <w:b/>
          <w:sz w:val="40"/>
          <w:szCs w:val="40"/>
        </w:rPr>
        <w:t>_____________________________________________</w:t>
      </w:r>
    </w:p>
    <w:p w14:paraId="330F6DB6" w14:textId="77777777" w:rsidR="00F62BB6" w:rsidRDefault="003A1FB2" w:rsidP="00F62BB6">
      <w:pPr>
        <w:pStyle w:val="04aNumeration"/>
        <w:numPr>
          <w:ilvl w:val="0"/>
          <w:numId w:val="0"/>
        </w:numPr>
        <w:pBdr>
          <w:bottom w:val="single" w:sz="12" w:space="1" w:color="auto"/>
        </w:pBdr>
        <w:tabs>
          <w:tab w:val="left" w:pos="720"/>
        </w:tabs>
        <w:jc w:val="center"/>
        <w:rPr>
          <w:rFonts w:ascii="Times New Roman" w:hAnsi="Times New Roman"/>
          <w:b/>
          <w:szCs w:val="20"/>
        </w:rPr>
      </w:pPr>
      <w:r w:rsidRPr="00F62BB6">
        <w:rPr>
          <w:rFonts w:ascii="Times New Roman" w:hAnsi="Times New Roman"/>
          <w:b/>
          <w:sz w:val="40"/>
          <w:szCs w:val="40"/>
        </w:rPr>
        <w:t xml:space="preserve"> Notification letter for the marketing of units or shares of EU AIFs in Member States other than the home Member State of the AIFM</w:t>
      </w:r>
      <w:r w:rsidRPr="00F62BB6">
        <w:rPr>
          <w:rFonts w:ascii="Times New Roman" w:hAnsi="Times New Roman"/>
          <w:b/>
          <w:szCs w:val="20"/>
        </w:rPr>
        <w:t xml:space="preserve"> </w:t>
      </w:r>
    </w:p>
    <w:p w14:paraId="71F0B1C3" w14:textId="77777777" w:rsidR="00536DFA" w:rsidRDefault="003A1FB2" w:rsidP="00F62BB6">
      <w:pPr>
        <w:pStyle w:val="04aNumeration"/>
        <w:numPr>
          <w:ilvl w:val="0"/>
          <w:numId w:val="0"/>
        </w:numPr>
        <w:pBdr>
          <w:bottom w:val="single" w:sz="12" w:space="1" w:color="auto"/>
        </w:pBdr>
        <w:tabs>
          <w:tab w:val="left" w:pos="720"/>
        </w:tabs>
        <w:jc w:val="center"/>
        <w:rPr>
          <w:rFonts w:ascii="Times New Roman" w:hAnsi="Times New Roman"/>
          <w:b/>
          <w:szCs w:val="20"/>
        </w:rPr>
      </w:pPr>
      <w:r>
        <w:rPr>
          <w:rFonts w:ascii="Times New Roman" w:hAnsi="Times New Roman"/>
          <w:b/>
          <w:szCs w:val="20"/>
        </w:rPr>
        <w:t>(Article 32 of the AIFMD)</w:t>
      </w:r>
    </w:p>
    <w:p w14:paraId="39E06D17" w14:textId="77777777" w:rsidR="00F36439" w:rsidRDefault="000A3E9B" w:rsidP="00F62BB6">
      <w:pPr>
        <w:pStyle w:val="04aNumeration"/>
        <w:numPr>
          <w:ilvl w:val="0"/>
          <w:numId w:val="0"/>
        </w:numPr>
        <w:pBdr>
          <w:bottom w:val="single" w:sz="12" w:space="1" w:color="auto"/>
        </w:pBdr>
        <w:tabs>
          <w:tab w:val="left" w:pos="720"/>
        </w:tabs>
        <w:jc w:val="center"/>
        <w:rPr>
          <w:rFonts w:ascii="Times New Roman" w:hAnsi="Times New Roman"/>
          <w:b/>
          <w:szCs w:val="20"/>
        </w:rPr>
      </w:pPr>
    </w:p>
    <w:p w14:paraId="71C5F0E1" w14:textId="77777777" w:rsidR="00F62BB6" w:rsidRDefault="000A3E9B" w:rsidP="00F62BB6">
      <w:pPr>
        <w:pStyle w:val="04aNumeration"/>
        <w:numPr>
          <w:ilvl w:val="0"/>
          <w:numId w:val="0"/>
        </w:numPr>
        <w:tabs>
          <w:tab w:val="left" w:pos="720"/>
        </w:tabs>
        <w:jc w:val="center"/>
        <w:rPr>
          <w:rFonts w:ascii="Times New Roman" w:hAnsi="Times New Roman"/>
          <w:b/>
          <w:szCs w:val="20"/>
        </w:rPr>
      </w:pPr>
    </w:p>
    <w:p w14:paraId="51B6ECA9" w14:textId="77777777" w:rsidR="00F62BB6" w:rsidRDefault="000A3E9B" w:rsidP="00F62BB6">
      <w:pPr>
        <w:pStyle w:val="04aNumeration"/>
        <w:numPr>
          <w:ilvl w:val="0"/>
          <w:numId w:val="0"/>
        </w:numPr>
        <w:tabs>
          <w:tab w:val="left" w:pos="720"/>
        </w:tabs>
        <w:jc w:val="center"/>
        <w:rPr>
          <w:rFonts w:ascii="Times New Roman" w:hAnsi="Times New Roman"/>
          <w:b/>
          <w:szCs w:val="20"/>
        </w:rPr>
      </w:pPr>
    </w:p>
    <w:p w14:paraId="71A1F239" w14:textId="77777777" w:rsidR="00F62BB6" w:rsidRDefault="000A3E9B" w:rsidP="00F62BB6">
      <w:pPr>
        <w:pStyle w:val="04aNumeration"/>
        <w:numPr>
          <w:ilvl w:val="0"/>
          <w:numId w:val="0"/>
        </w:numPr>
        <w:tabs>
          <w:tab w:val="left" w:pos="720"/>
        </w:tabs>
        <w:jc w:val="center"/>
        <w:rPr>
          <w:rFonts w:ascii="Times New Roman" w:hAnsi="Times New Roman"/>
          <w:b/>
          <w:szCs w:val="20"/>
        </w:rPr>
      </w:pPr>
    </w:p>
    <w:p w14:paraId="6CD664F2" w14:textId="77777777" w:rsidR="00F62BB6" w:rsidRDefault="000A3E9B" w:rsidP="00F62BB6">
      <w:pPr>
        <w:pStyle w:val="04aNumeration"/>
        <w:numPr>
          <w:ilvl w:val="0"/>
          <w:numId w:val="0"/>
        </w:numPr>
        <w:tabs>
          <w:tab w:val="left" w:pos="720"/>
        </w:tabs>
        <w:jc w:val="center"/>
        <w:rPr>
          <w:rFonts w:ascii="Times New Roman" w:hAnsi="Times New Roman"/>
          <w:b/>
          <w:szCs w:val="20"/>
        </w:rPr>
      </w:pPr>
    </w:p>
    <w:p w14:paraId="77EB9C02" w14:textId="77777777" w:rsidR="00536DFA" w:rsidRDefault="000A3E9B" w:rsidP="00F62BB6">
      <w:pPr>
        <w:pStyle w:val="04aNumeration"/>
        <w:numPr>
          <w:ilvl w:val="0"/>
          <w:numId w:val="0"/>
        </w:numPr>
        <w:tabs>
          <w:tab w:val="left" w:pos="720"/>
        </w:tabs>
        <w:jc w:val="center"/>
        <w:rPr>
          <w:rFonts w:ascii="Times New Roman" w:hAnsi="Times New Roman"/>
          <w:b/>
          <w:szCs w:val="20"/>
        </w:rPr>
      </w:pPr>
    </w:p>
    <w:p w14:paraId="24CD01EC" w14:textId="77777777" w:rsidR="00536DFA" w:rsidRDefault="000A3E9B" w:rsidP="00F62BB6">
      <w:pPr>
        <w:pStyle w:val="04aNumeration"/>
        <w:numPr>
          <w:ilvl w:val="0"/>
          <w:numId w:val="0"/>
        </w:numPr>
        <w:tabs>
          <w:tab w:val="left" w:pos="720"/>
        </w:tabs>
        <w:jc w:val="center"/>
        <w:rPr>
          <w:rFonts w:ascii="Times New Roman" w:hAnsi="Times New Roman"/>
          <w:b/>
          <w:szCs w:val="20"/>
        </w:rPr>
      </w:pPr>
    </w:p>
    <w:p w14:paraId="67CF84B0" w14:textId="77777777" w:rsidR="00536DFA" w:rsidRDefault="000A3E9B" w:rsidP="00F62BB6">
      <w:pPr>
        <w:pStyle w:val="04aNumeration"/>
        <w:numPr>
          <w:ilvl w:val="0"/>
          <w:numId w:val="0"/>
        </w:numPr>
        <w:tabs>
          <w:tab w:val="left" w:pos="720"/>
        </w:tabs>
        <w:jc w:val="center"/>
        <w:rPr>
          <w:rFonts w:ascii="Times New Roman" w:hAnsi="Times New Roman"/>
          <w:b/>
          <w:szCs w:val="20"/>
        </w:rPr>
      </w:pPr>
    </w:p>
    <w:p w14:paraId="1F22387E" w14:textId="77777777" w:rsidR="00536DFA" w:rsidRDefault="000A3E9B" w:rsidP="00F62BB6">
      <w:pPr>
        <w:pStyle w:val="04aNumeration"/>
        <w:numPr>
          <w:ilvl w:val="0"/>
          <w:numId w:val="0"/>
        </w:numPr>
        <w:tabs>
          <w:tab w:val="left" w:pos="720"/>
        </w:tabs>
        <w:jc w:val="center"/>
        <w:rPr>
          <w:rFonts w:ascii="Times New Roman" w:hAnsi="Times New Roman"/>
          <w:b/>
          <w:szCs w:val="20"/>
        </w:rPr>
      </w:pPr>
    </w:p>
    <w:p w14:paraId="7EDE0A78" w14:textId="77777777" w:rsidR="00F36439" w:rsidRDefault="003A1FB2" w:rsidP="00F62BB6">
      <w:pPr>
        <w:pStyle w:val="04aNumeration"/>
        <w:numPr>
          <w:ilvl w:val="0"/>
          <w:numId w:val="0"/>
        </w:numPr>
        <w:tabs>
          <w:tab w:val="left" w:pos="720"/>
        </w:tabs>
        <w:rPr>
          <w:rFonts w:ascii="Times New Roman Bold" w:hAnsi="Times New Roman Bold"/>
          <w:b/>
          <w:i/>
          <w:szCs w:val="20"/>
        </w:rPr>
      </w:pPr>
      <w:r>
        <w:rPr>
          <w:rFonts w:ascii="Times New Roman Bold" w:hAnsi="Times New Roman Bold"/>
          <w:b/>
          <w:i/>
          <w:szCs w:val="20"/>
        </w:rPr>
        <w:t>Date of Issue: 3</w:t>
      </w:r>
      <w:r w:rsidRPr="000E0888">
        <w:rPr>
          <w:rFonts w:ascii="Times New Roman Bold" w:hAnsi="Times New Roman Bold"/>
          <w:b/>
          <w:i/>
          <w:szCs w:val="20"/>
          <w:vertAlign w:val="superscript"/>
        </w:rPr>
        <w:t>rd</w:t>
      </w:r>
      <w:r>
        <w:rPr>
          <w:rFonts w:ascii="Times New Roman Bold" w:hAnsi="Times New Roman Bold"/>
          <w:b/>
          <w:i/>
          <w:szCs w:val="20"/>
        </w:rPr>
        <w:t xml:space="preserve"> October 2014</w:t>
      </w:r>
    </w:p>
    <w:p w14:paraId="27448F7D" w14:textId="77777777" w:rsidR="00536DFA" w:rsidRDefault="003A1FB2" w:rsidP="006D447E">
      <w:pPr>
        <w:spacing w:line="240" w:lineRule="atLeast"/>
        <w:jc w:val="center"/>
        <w:rPr>
          <w:rFonts w:ascii="Times New Roman" w:hAnsi="Times New Roman"/>
          <w:b/>
          <w:sz w:val="24"/>
        </w:rPr>
      </w:pPr>
      <w:r>
        <w:rPr>
          <w:rFonts w:ascii="Times New Roman" w:hAnsi="Times New Roman"/>
          <w:b/>
          <w:sz w:val="24"/>
        </w:rPr>
        <w:lastRenderedPageBreak/>
        <w:t>INTRODUCTION</w:t>
      </w:r>
    </w:p>
    <w:p w14:paraId="0C41657C" w14:textId="77777777" w:rsidR="00DA3FCB" w:rsidRDefault="000A3E9B" w:rsidP="006D447E">
      <w:pPr>
        <w:spacing w:line="240" w:lineRule="atLeast"/>
        <w:jc w:val="center"/>
        <w:rPr>
          <w:rFonts w:ascii="Times New Roman" w:hAnsi="Times New Roman"/>
          <w:b/>
          <w:sz w:val="24"/>
        </w:rPr>
      </w:pPr>
    </w:p>
    <w:p w14:paraId="43DF0CEE" w14:textId="77777777" w:rsidR="00DA3FCB" w:rsidRDefault="003A1FB2" w:rsidP="002C7C84">
      <w:pPr>
        <w:spacing w:line="276" w:lineRule="auto"/>
        <w:jc w:val="both"/>
        <w:rPr>
          <w:rFonts w:ascii="Times New Roman" w:hAnsi="Times New Roman"/>
          <w:sz w:val="24"/>
        </w:rPr>
      </w:pPr>
      <w:r>
        <w:rPr>
          <w:rFonts w:ascii="Times New Roman" w:hAnsi="Times New Roman"/>
          <w:sz w:val="24"/>
        </w:rPr>
        <w:t>In filling out this Notification Letter, reference should be made to the Investment Services Act (Marketing of Alternative Investment Funds) Regulations, 2013.</w:t>
      </w:r>
    </w:p>
    <w:p w14:paraId="5EFFD9DB" w14:textId="77777777" w:rsidR="006D447E" w:rsidRDefault="000A3E9B" w:rsidP="002C7C84">
      <w:pPr>
        <w:spacing w:line="276" w:lineRule="auto"/>
        <w:jc w:val="both"/>
        <w:rPr>
          <w:rFonts w:ascii="Times New Roman" w:hAnsi="Times New Roman"/>
          <w:sz w:val="24"/>
        </w:rPr>
      </w:pPr>
    </w:p>
    <w:p w14:paraId="185586C5" w14:textId="77777777" w:rsidR="00E93A4E" w:rsidRDefault="003A1FB2" w:rsidP="002C7C84">
      <w:pPr>
        <w:spacing w:line="276" w:lineRule="auto"/>
        <w:jc w:val="both"/>
        <w:rPr>
          <w:rFonts w:ascii="Times New Roman" w:hAnsi="Times New Roman"/>
          <w:sz w:val="24"/>
        </w:rPr>
      </w:pPr>
      <w:r>
        <w:rPr>
          <w:rFonts w:ascii="Times New Roman" w:hAnsi="Times New Roman"/>
          <w:sz w:val="24"/>
        </w:rPr>
        <w:t>All s</w:t>
      </w:r>
      <w:r w:rsidRPr="006D447E">
        <w:rPr>
          <w:rFonts w:ascii="Times New Roman" w:hAnsi="Times New Roman"/>
          <w:sz w:val="24"/>
        </w:rPr>
        <w:t>ections sh</w:t>
      </w:r>
      <w:r>
        <w:rPr>
          <w:rFonts w:ascii="Times New Roman" w:hAnsi="Times New Roman"/>
          <w:sz w:val="24"/>
        </w:rPr>
        <w:t xml:space="preserve">ould be completed. </w:t>
      </w:r>
      <w:r w:rsidRPr="006D447E">
        <w:rPr>
          <w:rFonts w:ascii="Times New Roman" w:hAnsi="Times New Roman"/>
          <w:sz w:val="24"/>
        </w:rPr>
        <w:t>In case of detailed explanations, separate sheets should be used. If the Licence Holder believes that a Section does not apply</w:t>
      </w:r>
      <w:r>
        <w:rPr>
          <w:rFonts w:ascii="Times New Roman" w:hAnsi="Times New Roman"/>
          <w:sz w:val="24"/>
        </w:rPr>
        <w:t>, the response should be marked as “N/A”.</w:t>
      </w:r>
    </w:p>
    <w:p w14:paraId="241FEFBC" w14:textId="77777777" w:rsidR="006D447E" w:rsidRDefault="000A3E9B" w:rsidP="002C7C84">
      <w:pPr>
        <w:spacing w:line="276" w:lineRule="auto"/>
        <w:jc w:val="both"/>
        <w:rPr>
          <w:rFonts w:ascii="Times New Roman" w:hAnsi="Times New Roman"/>
          <w:sz w:val="24"/>
        </w:rPr>
      </w:pPr>
    </w:p>
    <w:p w14:paraId="783CD3AA" w14:textId="114AC08D" w:rsidR="008C4101" w:rsidRDefault="003A1FB2" w:rsidP="002C7C84">
      <w:pPr>
        <w:spacing w:line="276" w:lineRule="auto"/>
        <w:jc w:val="both"/>
        <w:rPr>
          <w:rFonts w:ascii="Times New Roman" w:hAnsi="Times New Roman"/>
          <w:sz w:val="24"/>
        </w:rPr>
      </w:pPr>
      <w:r w:rsidRPr="006D447E">
        <w:rPr>
          <w:rFonts w:ascii="Times New Roman" w:hAnsi="Times New Roman"/>
          <w:sz w:val="24"/>
        </w:rPr>
        <w:t xml:space="preserve">Hard copies of this Notification Letter </w:t>
      </w:r>
      <w:r>
        <w:rPr>
          <w:rFonts w:ascii="Times New Roman" w:hAnsi="Times New Roman"/>
          <w:sz w:val="24"/>
        </w:rPr>
        <w:t>together with the relevant</w:t>
      </w:r>
      <w:r w:rsidRPr="006D447E">
        <w:rPr>
          <w:rFonts w:ascii="Times New Roman" w:hAnsi="Times New Roman"/>
          <w:sz w:val="24"/>
        </w:rPr>
        <w:t xml:space="preserve"> supporting document</w:t>
      </w:r>
      <w:r>
        <w:rPr>
          <w:rFonts w:ascii="Times New Roman" w:hAnsi="Times New Roman"/>
          <w:sz w:val="24"/>
        </w:rPr>
        <w:t>ation</w:t>
      </w:r>
      <w:r w:rsidRPr="006D447E">
        <w:rPr>
          <w:rFonts w:ascii="Times New Roman" w:hAnsi="Times New Roman"/>
          <w:sz w:val="24"/>
        </w:rPr>
        <w:t xml:space="preserve"> are to be</w:t>
      </w:r>
      <w:r>
        <w:rPr>
          <w:rFonts w:ascii="Times New Roman" w:hAnsi="Times New Roman"/>
          <w:sz w:val="24"/>
        </w:rPr>
        <w:t xml:space="preserve"> submitted in English. A Microsoft Word version</w:t>
      </w:r>
      <w:r w:rsidRPr="006D447E">
        <w:rPr>
          <w:rFonts w:ascii="Times New Roman" w:hAnsi="Times New Roman"/>
          <w:sz w:val="24"/>
        </w:rPr>
        <w:t xml:space="preserve"> of </w:t>
      </w:r>
      <w:r>
        <w:rPr>
          <w:rFonts w:ascii="Times New Roman" w:hAnsi="Times New Roman"/>
          <w:sz w:val="24"/>
        </w:rPr>
        <w:t>this</w:t>
      </w:r>
      <w:r w:rsidRPr="006D447E">
        <w:rPr>
          <w:rFonts w:ascii="Times New Roman" w:hAnsi="Times New Roman"/>
          <w:sz w:val="24"/>
        </w:rPr>
        <w:t xml:space="preserve"> Notification Lett</w:t>
      </w:r>
      <w:r>
        <w:rPr>
          <w:rFonts w:ascii="Times New Roman" w:hAnsi="Times New Roman"/>
          <w:sz w:val="24"/>
        </w:rPr>
        <w:t>er is available from MFSA’s web</w:t>
      </w:r>
      <w:r w:rsidRPr="006D447E">
        <w:rPr>
          <w:rFonts w:ascii="Times New Roman" w:hAnsi="Times New Roman"/>
          <w:sz w:val="24"/>
        </w:rPr>
        <w:t>site (www.mfsa.com.mt). Applicants are encouraged to complete the Notification Letter electronically</w:t>
      </w:r>
      <w:r>
        <w:rPr>
          <w:rFonts w:ascii="Times New Roman" w:hAnsi="Times New Roman"/>
          <w:sz w:val="24"/>
        </w:rPr>
        <w:t xml:space="preserve"> and submit it via email to</w:t>
      </w:r>
      <w:r w:rsidR="009569D0">
        <w:rPr>
          <w:rFonts w:ascii="Times New Roman" w:hAnsi="Times New Roman"/>
          <w:sz w:val="24"/>
        </w:rPr>
        <w:t xml:space="preserve"> </w:t>
      </w:r>
      <w:hyperlink r:id="rId8" w:history="1">
        <w:r w:rsidRPr="00F27280">
          <w:rPr>
            <w:rStyle w:val="Hyperlink"/>
            <w:rFonts w:ascii="Times New Roman" w:hAnsi="Times New Roman"/>
            <w:sz w:val="24"/>
          </w:rPr>
          <w:t>aifmdnotifications@mfsa.mt</w:t>
        </w:r>
      </w:hyperlink>
      <w:r>
        <w:rPr>
          <w:rFonts w:ascii="Times New Roman" w:hAnsi="Times New Roman"/>
          <w:sz w:val="24"/>
        </w:rPr>
        <w:t xml:space="preserve">.  </w:t>
      </w:r>
      <w:r w:rsidRPr="006D447E">
        <w:rPr>
          <w:rFonts w:ascii="Times New Roman" w:hAnsi="Times New Roman"/>
          <w:sz w:val="24"/>
        </w:rPr>
        <w:tab/>
      </w:r>
    </w:p>
    <w:p w14:paraId="50910ED4" w14:textId="77777777" w:rsidR="006D447E" w:rsidRPr="00DA3FCB" w:rsidRDefault="003A1FB2" w:rsidP="008C4101">
      <w:pPr>
        <w:spacing w:line="276" w:lineRule="auto"/>
        <w:jc w:val="center"/>
        <w:rPr>
          <w:rFonts w:ascii="Times New Roman" w:hAnsi="Times New Roman"/>
          <w:sz w:val="24"/>
        </w:rPr>
      </w:pPr>
      <w:r>
        <w:rPr>
          <w:rFonts w:ascii="Times New Roman" w:hAnsi="Times New Roman"/>
          <w:sz w:val="24"/>
        </w:rPr>
        <w:br w:type="page"/>
      </w:r>
    </w:p>
    <w:p w14:paraId="67F2AE69" w14:textId="77777777" w:rsidR="008C4101" w:rsidRDefault="003A1FB2" w:rsidP="008C4101">
      <w:pPr>
        <w:spacing w:line="240" w:lineRule="atLeast"/>
        <w:jc w:val="center"/>
        <w:rPr>
          <w:rFonts w:ascii="Times New Roman" w:hAnsi="Times New Roman"/>
          <w:b/>
          <w:sz w:val="24"/>
        </w:rPr>
      </w:pPr>
      <w:r>
        <w:rPr>
          <w:rFonts w:ascii="Times New Roman" w:hAnsi="Times New Roman"/>
          <w:b/>
          <w:sz w:val="24"/>
        </w:rPr>
        <w:lastRenderedPageBreak/>
        <w:t>DECLARATION</w:t>
      </w:r>
    </w:p>
    <w:p w14:paraId="6419D25A" w14:textId="77777777" w:rsidR="008C4101" w:rsidRDefault="000A3E9B" w:rsidP="008C4101">
      <w:pPr>
        <w:spacing w:line="240" w:lineRule="atLeast"/>
        <w:jc w:val="center"/>
        <w:rPr>
          <w:rFonts w:ascii="Times New Roman" w:hAnsi="Times New Roman"/>
          <w:b/>
          <w:sz w:val="24"/>
        </w:rPr>
      </w:pPr>
    </w:p>
    <w:p w14:paraId="4DA7A93A" w14:textId="77777777" w:rsidR="007D106D" w:rsidRDefault="003A1FB2" w:rsidP="007D106D">
      <w:pPr>
        <w:spacing w:line="240" w:lineRule="atLeast"/>
        <w:jc w:val="both"/>
        <w:rPr>
          <w:rFonts w:ascii="Times New Roman" w:hAnsi="Times New Roman"/>
          <w:sz w:val="24"/>
        </w:rPr>
      </w:pPr>
      <w:r w:rsidRPr="007D106D">
        <w:rPr>
          <w:rFonts w:ascii="Times New Roman" w:hAnsi="Times New Roman"/>
          <w:sz w:val="24"/>
        </w:rPr>
        <w:t>I confirm that all the conditions in</w:t>
      </w:r>
      <w:r>
        <w:rPr>
          <w:rFonts w:ascii="Times New Roman" w:hAnsi="Times New Roman"/>
          <w:sz w:val="24"/>
        </w:rPr>
        <w:t xml:space="preserve"> Regulation 4 of</w:t>
      </w:r>
      <w:r w:rsidRPr="007D106D">
        <w:rPr>
          <w:rFonts w:ascii="Times New Roman" w:hAnsi="Times New Roman"/>
          <w:sz w:val="24"/>
        </w:rPr>
        <w:t xml:space="preserve"> the Investment Services Act (Marketing of Alternative Investment Funds) Regulations</w:t>
      </w:r>
      <w:r>
        <w:rPr>
          <w:rFonts w:ascii="Times New Roman" w:hAnsi="Times New Roman"/>
          <w:sz w:val="24"/>
        </w:rPr>
        <w:t>, 2013 have been complied with.</w:t>
      </w:r>
    </w:p>
    <w:p w14:paraId="3413EA71" w14:textId="77777777" w:rsidR="00E62BB7" w:rsidRPr="007D106D" w:rsidRDefault="000A3E9B" w:rsidP="007D106D">
      <w:pPr>
        <w:spacing w:line="240" w:lineRule="atLeast"/>
        <w:jc w:val="both"/>
        <w:rPr>
          <w:rFonts w:ascii="Times New Roman" w:hAnsi="Times New Roman"/>
          <w:sz w:val="24"/>
        </w:rPr>
      </w:pPr>
    </w:p>
    <w:p w14:paraId="7B15B8C1" w14:textId="77777777" w:rsidR="007D106D" w:rsidRPr="007D106D" w:rsidRDefault="003A1FB2" w:rsidP="007D106D">
      <w:pPr>
        <w:spacing w:line="240" w:lineRule="atLeast"/>
        <w:jc w:val="both"/>
        <w:rPr>
          <w:rFonts w:ascii="Times New Roman" w:hAnsi="Times New Roman"/>
          <w:sz w:val="24"/>
        </w:rPr>
      </w:pPr>
      <w:r w:rsidRPr="007D106D">
        <w:rPr>
          <w:rFonts w:ascii="Times New Roman" w:hAnsi="Times New Roman"/>
          <w:sz w:val="24"/>
        </w:rPr>
        <w:t xml:space="preserve">I understand that furnishing information or making a statement knowing that it is inaccurate, </w:t>
      </w:r>
      <w:proofErr w:type="gramStart"/>
      <w:r w:rsidRPr="007D106D">
        <w:rPr>
          <w:rFonts w:ascii="Times New Roman" w:hAnsi="Times New Roman"/>
          <w:sz w:val="24"/>
        </w:rPr>
        <w:t>false</w:t>
      </w:r>
      <w:proofErr w:type="gramEnd"/>
      <w:r w:rsidRPr="007D106D">
        <w:rPr>
          <w:rFonts w:ascii="Times New Roman" w:hAnsi="Times New Roman"/>
          <w:sz w:val="24"/>
        </w:rPr>
        <w:t xml:space="preserve"> or misleading in any material respect, or recklessly furnishing information or making a statement which is inaccurate, false or misleading in any material respect is a criminal offence</w:t>
      </w:r>
      <w:r>
        <w:rPr>
          <w:rFonts w:ascii="Times New Roman" w:hAnsi="Times New Roman"/>
          <w:sz w:val="24"/>
        </w:rPr>
        <w:t>.</w:t>
      </w:r>
    </w:p>
    <w:p w14:paraId="0B5DBDCD" w14:textId="77777777" w:rsidR="007D106D" w:rsidRPr="007D106D" w:rsidRDefault="003A1FB2" w:rsidP="007D106D">
      <w:pPr>
        <w:spacing w:line="240" w:lineRule="atLeast"/>
        <w:jc w:val="both"/>
        <w:rPr>
          <w:rFonts w:ascii="Times New Roman" w:hAnsi="Times New Roman"/>
          <w:sz w:val="24"/>
        </w:rPr>
      </w:pPr>
      <w:r>
        <w:rPr>
          <w:rFonts w:ascii="Times New Roman" w:hAnsi="Times New Roman"/>
          <w:sz w:val="24"/>
        </w:rPr>
        <w:t xml:space="preserve"> </w:t>
      </w:r>
    </w:p>
    <w:p w14:paraId="2647145A" w14:textId="77777777" w:rsidR="007D106D" w:rsidRPr="007D106D" w:rsidRDefault="003A1FB2" w:rsidP="007D106D">
      <w:pPr>
        <w:spacing w:line="240" w:lineRule="atLeast"/>
        <w:jc w:val="both"/>
        <w:rPr>
          <w:rFonts w:ascii="Times New Roman" w:hAnsi="Times New Roman"/>
          <w:sz w:val="24"/>
        </w:rPr>
      </w:pPr>
      <w:r w:rsidRPr="007D106D">
        <w:rPr>
          <w:rFonts w:ascii="Times New Roman" w:hAnsi="Times New Roman"/>
          <w:sz w:val="24"/>
        </w:rPr>
        <w:t>I confirm that the information p</w:t>
      </w:r>
      <w:r>
        <w:rPr>
          <w:rFonts w:ascii="Times New Roman" w:hAnsi="Times New Roman"/>
          <w:sz w:val="24"/>
        </w:rPr>
        <w:t>rovided in the Notification Letter is true, accurate and complete.</w:t>
      </w:r>
    </w:p>
    <w:p w14:paraId="0FE480FD" w14:textId="77777777" w:rsidR="007D106D" w:rsidRPr="007D106D" w:rsidRDefault="000A3E9B" w:rsidP="007D106D">
      <w:pPr>
        <w:spacing w:line="240" w:lineRule="atLeast"/>
        <w:jc w:val="both"/>
        <w:rPr>
          <w:rFonts w:ascii="Times New Roman" w:hAnsi="Times New Roman"/>
          <w:sz w:val="24"/>
        </w:rPr>
      </w:pPr>
    </w:p>
    <w:p w14:paraId="4C35178B" w14:textId="77777777" w:rsidR="007D106D" w:rsidRDefault="003A1FB2" w:rsidP="007D106D">
      <w:pPr>
        <w:spacing w:line="240" w:lineRule="atLeast"/>
        <w:jc w:val="both"/>
        <w:rPr>
          <w:rFonts w:ascii="Times New Roman" w:hAnsi="Times New Roman"/>
          <w:sz w:val="24"/>
        </w:rPr>
      </w:pPr>
      <w:r w:rsidRPr="007D106D">
        <w:rPr>
          <w:rFonts w:ascii="Times New Roman" w:hAnsi="Times New Roman"/>
          <w:sz w:val="24"/>
        </w:rPr>
        <w:t>I confirm that I am authorised to sign on behalf of the AIFM.</w:t>
      </w:r>
    </w:p>
    <w:p w14:paraId="2BD4FABA" w14:textId="77777777" w:rsidR="00536DFA" w:rsidRDefault="000A3E9B" w:rsidP="007D106D">
      <w:pPr>
        <w:spacing w:line="240" w:lineRule="atLeast"/>
        <w:jc w:val="both"/>
        <w:rPr>
          <w:rFonts w:ascii="Times New Roman" w:hAnsi="Times New Roman"/>
          <w:sz w:val="24"/>
        </w:rPr>
      </w:pPr>
    </w:p>
    <w:p w14:paraId="24A37322" w14:textId="77777777" w:rsidR="00536DFA" w:rsidRDefault="000A3E9B" w:rsidP="007D106D">
      <w:pPr>
        <w:spacing w:line="240" w:lineRule="atLeast"/>
        <w:jc w:val="both"/>
        <w:rPr>
          <w:rFonts w:ascii="Times New Roman" w:hAnsi="Times New Roman"/>
          <w:sz w:val="24"/>
        </w:rPr>
      </w:pPr>
    </w:p>
    <w:p w14:paraId="2D84B6B8" w14:textId="77777777" w:rsidR="00536DFA" w:rsidRDefault="000A3E9B" w:rsidP="007D106D">
      <w:pPr>
        <w:spacing w:line="240" w:lineRule="atLeast"/>
        <w:jc w:val="both"/>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5447"/>
      </w:tblGrid>
      <w:tr w:rsidR="00536DFA" w14:paraId="6CFFCADD" w14:textId="77777777" w:rsidTr="001647D3">
        <w:tc>
          <w:tcPr>
            <w:tcW w:w="3652" w:type="dxa"/>
          </w:tcPr>
          <w:p w14:paraId="576282BD" w14:textId="77777777" w:rsidR="00536DFA" w:rsidRDefault="003A1FB2" w:rsidP="007D106D">
            <w:pPr>
              <w:spacing w:line="240" w:lineRule="atLeast"/>
              <w:jc w:val="both"/>
              <w:rPr>
                <w:rFonts w:ascii="Times New Roman" w:hAnsi="Times New Roman"/>
                <w:sz w:val="24"/>
              </w:rPr>
            </w:pPr>
            <w:r>
              <w:rPr>
                <w:rFonts w:ascii="Times New Roman" w:hAnsi="Times New Roman"/>
                <w:sz w:val="24"/>
              </w:rPr>
              <w:t>Name:</w:t>
            </w:r>
          </w:p>
        </w:tc>
        <w:tc>
          <w:tcPr>
            <w:tcW w:w="5590" w:type="dxa"/>
            <w:tcBorders>
              <w:bottom w:val="single" w:sz="4" w:space="0" w:color="auto"/>
            </w:tcBorders>
          </w:tcPr>
          <w:p w14:paraId="793E7AF4" w14:textId="77777777" w:rsidR="00536DFA" w:rsidRDefault="003A1FB2" w:rsidP="007D106D">
            <w:pPr>
              <w:spacing w:line="240" w:lineRule="atLeast"/>
              <w:jc w:val="both"/>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536DFA" w14:paraId="475272B2" w14:textId="77777777" w:rsidTr="001647D3">
        <w:tc>
          <w:tcPr>
            <w:tcW w:w="3652" w:type="dxa"/>
          </w:tcPr>
          <w:p w14:paraId="2C16739A" w14:textId="77777777" w:rsidR="00536DFA" w:rsidRDefault="000A3E9B" w:rsidP="007D106D">
            <w:pPr>
              <w:spacing w:line="240" w:lineRule="atLeast"/>
              <w:jc w:val="both"/>
              <w:rPr>
                <w:rFonts w:ascii="Times New Roman" w:hAnsi="Times New Roman"/>
                <w:sz w:val="24"/>
              </w:rPr>
            </w:pPr>
          </w:p>
        </w:tc>
        <w:tc>
          <w:tcPr>
            <w:tcW w:w="5590" w:type="dxa"/>
            <w:tcBorders>
              <w:top w:val="single" w:sz="4" w:space="0" w:color="auto"/>
            </w:tcBorders>
          </w:tcPr>
          <w:p w14:paraId="745DA366" w14:textId="77777777" w:rsidR="00536DFA" w:rsidRDefault="000A3E9B" w:rsidP="007D106D">
            <w:pPr>
              <w:spacing w:line="240" w:lineRule="atLeast"/>
              <w:jc w:val="both"/>
              <w:rPr>
                <w:rFonts w:ascii="Times New Roman" w:hAnsi="Times New Roman"/>
                <w:sz w:val="24"/>
              </w:rPr>
            </w:pPr>
          </w:p>
        </w:tc>
      </w:tr>
      <w:tr w:rsidR="00536DFA" w14:paraId="04FB6BF9" w14:textId="77777777" w:rsidTr="001647D3">
        <w:tc>
          <w:tcPr>
            <w:tcW w:w="3652" w:type="dxa"/>
          </w:tcPr>
          <w:p w14:paraId="4106ED35" w14:textId="77777777" w:rsidR="00536DFA" w:rsidRDefault="003A1FB2" w:rsidP="007D106D">
            <w:pPr>
              <w:spacing w:line="240" w:lineRule="atLeast"/>
              <w:jc w:val="both"/>
              <w:rPr>
                <w:rFonts w:ascii="Times New Roman" w:hAnsi="Times New Roman"/>
                <w:sz w:val="24"/>
              </w:rPr>
            </w:pPr>
            <w:r>
              <w:rPr>
                <w:rFonts w:ascii="Times New Roman" w:hAnsi="Times New Roman"/>
                <w:sz w:val="24"/>
              </w:rPr>
              <w:t>Position:</w:t>
            </w:r>
          </w:p>
        </w:tc>
        <w:tc>
          <w:tcPr>
            <w:tcW w:w="5590" w:type="dxa"/>
            <w:tcBorders>
              <w:bottom w:val="single" w:sz="4" w:space="0" w:color="auto"/>
            </w:tcBorders>
          </w:tcPr>
          <w:p w14:paraId="41C6DC3A" w14:textId="77777777" w:rsidR="00536DFA" w:rsidRDefault="003A1FB2" w:rsidP="007D106D">
            <w:pPr>
              <w:spacing w:line="240" w:lineRule="atLeast"/>
              <w:jc w:val="both"/>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536DFA" w14:paraId="7081D88B" w14:textId="77777777" w:rsidTr="001647D3">
        <w:tc>
          <w:tcPr>
            <w:tcW w:w="3652" w:type="dxa"/>
          </w:tcPr>
          <w:p w14:paraId="3C69ED33" w14:textId="77777777" w:rsidR="00536DFA" w:rsidRDefault="000A3E9B" w:rsidP="007D106D">
            <w:pPr>
              <w:spacing w:line="240" w:lineRule="atLeast"/>
              <w:jc w:val="both"/>
              <w:rPr>
                <w:rFonts w:ascii="Times New Roman" w:hAnsi="Times New Roman"/>
                <w:sz w:val="24"/>
              </w:rPr>
            </w:pPr>
          </w:p>
        </w:tc>
        <w:tc>
          <w:tcPr>
            <w:tcW w:w="5590" w:type="dxa"/>
            <w:tcBorders>
              <w:top w:val="single" w:sz="4" w:space="0" w:color="auto"/>
            </w:tcBorders>
          </w:tcPr>
          <w:p w14:paraId="46BD8AC7" w14:textId="77777777" w:rsidR="00536DFA" w:rsidRDefault="000A3E9B" w:rsidP="007D106D">
            <w:pPr>
              <w:spacing w:line="240" w:lineRule="atLeast"/>
              <w:jc w:val="both"/>
              <w:rPr>
                <w:rFonts w:ascii="Times New Roman" w:hAnsi="Times New Roman"/>
                <w:sz w:val="24"/>
              </w:rPr>
            </w:pPr>
          </w:p>
        </w:tc>
      </w:tr>
      <w:tr w:rsidR="00536DFA" w14:paraId="3A393E52" w14:textId="77777777" w:rsidTr="001647D3">
        <w:tc>
          <w:tcPr>
            <w:tcW w:w="3652" w:type="dxa"/>
          </w:tcPr>
          <w:p w14:paraId="405D4E0C" w14:textId="77777777" w:rsidR="00536DFA" w:rsidRDefault="000A3E9B" w:rsidP="007D106D">
            <w:pPr>
              <w:spacing w:line="240" w:lineRule="atLeast"/>
              <w:jc w:val="both"/>
              <w:rPr>
                <w:rFonts w:ascii="Times New Roman" w:hAnsi="Times New Roman"/>
                <w:sz w:val="24"/>
              </w:rPr>
            </w:pPr>
          </w:p>
        </w:tc>
        <w:tc>
          <w:tcPr>
            <w:tcW w:w="5590" w:type="dxa"/>
          </w:tcPr>
          <w:p w14:paraId="5687FE72" w14:textId="77777777" w:rsidR="00536DFA" w:rsidRDefault="000A3E9B" w:rsidP="007D106D">
            <w:pPr>
              <w:spacing w:line="240" w:lineRule="atLeast"/>
              <w:jc w:val="both"/>
              <w:rPr>
                <w:rFonts w:ascii="Times New Roman" w:hAnsi="Times New Roman"/>
                <w:sz w:val="24"/>
              </w:rPr>
            </w:pPr>
          </w:p>
        </w:tc>
      </w:tr>
      <w:tr w:rsidR="00536DFA" w14:paraId="2A8AF668" w14:textId="77777777" w:rsidTr="001647D3">
        <w:tc>
          <w:tcPr>
            <w:tcW w:w="3652" w:type="dxa"/>
          </w:tcPr>
          <w:p w14:paraId="4118A0A3" w14:textId="77777777" w:rsidR="00536DFA" w:rsidRDefault="003A1FB2" w:rsidP="007D106D">
            <w:pPr>
              <w:spacing w:line="240" w:lineRule="atLeast"/>
              <w:jc w:val="both"/>
              <w:rPr>
                <w:rFonts w:ascii="Times New Roman" w:hAnsi="Times New Roman"/>
                <w:sz w:val="24"/>
              </w:rPr>
            </w:pPr>
            <w:r>
              <w:rPr>
                <w:rFonts w:ascii="Times New Roman" w:hAnsi="Times New Roman"/>
                <w:sz w:val="24"/>
              </w:rPr>
              <w:t>Signature:</w:t>
            </w:r>
          </w:p>
        </w:tc>
        <w:tc>
          <w:tcPr>
            <w:tcW w:w="5590" w:type="dxa"/>
            <w:tcBorders>
              <w:bottom w:val="single" w:sz="4" w:space="0" w:color="auto"/>
            </w:tcBorders>
          </w:tcPr>
          <w:p w14:paraId="68D766AD" w14:textId="77777777" w:rsidR="00536DFA" w:rsidRDefault="003A1FB2" w:rsidP="007D106D">
            <w:pPr>
              <w:spacing w:line="240" w:lineRule="atLeast"/>
              <w:jc w:val="both"/>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536DFA" w14:paraId="7A41DE47" w14:textId="77777777" w:rsidTr="001647D3">
        <w:tc>
          <w:tcPr>
            <w:tcW w:w="3652" w:type="dxa"/>
          </w:tcPr>
          <w:p w14:paraId="301BBB6A" w14:textId="77777777" w:rsidR="00536DFA" w:rsidRDefault="000A3E9B" w:rsidP="007D106D">
            <w:pPr>
              <w:spacing w:line="240" w:lineRule="atLeast"/>
              <w:jc w:val="both"/>
              <w:rPr>
                <w:rFonts w:ascii="Times New Roman" w:hAnsi="Times New Roman"/>
                <w:sz w:val="24"/>
              </w:rPr>
            </w:pPr>
          </w:p>
        </w:tc>
        <w:tc>
          <w:tcPr>
            <w:tcW w:w="5590" w:type="dxa"/>
            <w:tcBorders>
              <w:top w:val="single" w:sz="4" w:space="0" w:color="auto"/>
            </w:tcBorders>
          </w:tcPr>
          <w:p w14:paraId="32F19DDC" w14:textId="77777777" w:rsidR="00536DFA" w:rsidRDefault="000A3E9B" w:rsidP="007D106D">
            <w:pPr>
              <w:spacing w:line="240" w:lineRule="atLeast"/>
              <w:jc w:val="both"/>
              <w:rPr>
                <w:rFonts w:ascii="Times New Roman" w:hAnsi="Times New Roman"/>
                <w:sz w:val="24"/>
              </w:rPr>
            </w:pPr>
          </w:p>
        </w:tc>
      </w:tr>
      <w:tr w:rsidR="00536DFA" w14:paraId="3A1D72CF" w14:textId="77777777" w:rsidTr="001647D3">
        <w:tc>
          <w:tcPr>
            <w:tcW w:w="3652" w:type="dxa"/>
          </w:tcPr>
          <w:p w14:paraId="4BF9566F" w14:textId="77777777" w:rsidR="00536DFA" w:rsidRDefault="003A1FB2" w:rsidP="007D106D">
            <w:pPr>
              <w:spacing w:line="240" w:lineRule="atLeast"/>
              <w:jc w:val="both"/>
              <w:rPr>
                <w:rFonts w:ascii="Times New Roman" w:hAnsi="Times New Roman"/>
                <w:sz w:val="24"/>
              </w:rPr>
            </w:pPr>
            <w:r>
              <w:rPr>
                <w:rFonts w:ascii="Times New Roman" w:hAnsi="Times New Roman"/>
                <w:sz w:val="24"/>
              </w:rPr>
              <w:t>Date:</w:t>
            </w:r>
          </w:p>
        </w:tc>
        <w:tc>
          <w:tcPr>
            <w:tcW w:w="5590" w:type="dxa"/>
            <w:tcBorders>
              <w:bottom w:val="single" w:sz="4" w:space="0" w:color="auto"/>
            </w:tcBorders>
          </w:tcPr>
          <w:p w14:paraId="3775B7EB" w14:textId="77777777" w:rsidR="00536DFA" w:rsidRDefault="003A1FB2" w:rsidP="007D106D">
            <w:pPr>
              <w:spacing w:line="240" w:lineRule="atLeast"/>
              <w:jc w:val="both"/>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16CA5122" w14:textId="77777777" w:rsidR="00536DFA" w:rsidRDefault="000A3E9B" w:rsidP="007D106D">
      <w:pPr>
        <w:spacing w:line="240" w:lineRule="atLeast"/>
        <w:jc w:val="both"/>
        <w:rPr>
          <w:rFonts w:ascii="Times New Roman" w:hAnsi="Times New Roman"/>
          <w:sz w:val="24"/>
        </w:rPr>
      </w:pPr>
    </w:p>
    <w:p w14:paraId="6A974856" w14:textId="77777777" w:rsidR="00536DFA" w:rsidRDefault="003A1FB2">
      <w:pPr>
        <w:rPr>
          <w:rFonts w:ascii="Times New Roman" w:hAnsi="Times New Roman"/>
          <w:sz w:val="24"/>
        </w:rPr>
      </w:pPr>
      <w:r>
        <w:rPr>
          <w:rFonts w:ascii="Times New Roman" w:hAnsi="Times New Roman"/>
          <w:sz w:val="24"/>
        </w:rPr>
        <w:br w:type="page"/>
      </w:r>
    </w:p>
    <w:p w14:paraId="48BEF3EB" w14:textId="77777777" w:rsidR="00F62BB6" w:rsidRPr="00F62BB6" w:rsidRDefault="003A1FB2" w:rsidP="007D106D">
      <w:pPr>
        <w:spacing w:line="240" w:lineRule="atLeast"/>
        <w:jc w:val="both"/>
        <w:rPr>
          <w:rFonts w:ascii="Times New Roman" w:hAnsi="Times New Roman"/>
          <w:b/>
          <w:sz w:val="24"/>
        </w:rPr>
      </w:pPr>
      <w:r w:rsidRPr="00F62BB6">
        <w:rPr>
          <w:rFonts w:ascii="Times New Roman" w:hAnsi="Times New Roman"/>
          <w:b/>
          <w:sz w:val="24"/>
        </w:rPr>
        <w:lastRenderedPageBreak/>
        <w:t xml:space="preserve">NOTIFICATION </w:t>
      </w:r>
      <w:r>
        <w:rPr>
          <w:rFonts w:ascii="Times New Roman" w:hAnsi="Times New Roman"/>
          <w:b/>
          <w:sz w:val="24"/>
        </w:rPr>
        <w:t xml:space="preserve">LETTER FOR THE MARKETING OF </w:t>
      </w:r>
      <w:r w:rsidRPr="00F62BB6">
        <w:rPr>
          <w:rFonts w:ascii="Times New Roman" w:hAnsi="Times New Roman"/>
          <w:b/>
          <w:sz w:val="24"/>
        </w:rPr>
        <w:t xml:space="preserve">UNITS OR SHARES OF </w:t>
      </w:r>
      <w:r>
        <w:rPr>
          <w:rFonts w:ascii="Times New Roman" w:hAnsi="Times New Roman"/>
          <w:b/>
          <w:sz w:val="24"/>
        </w:rPr>
        <w:t>EU</w:t>
      </w:r>
      <w:r w:rsidRPr="00F62BB6">
        <w:rPr>
          <w:rFonts w:ascii="Times New Roman" w:hAnsi="Times New Roman"/>
          <w:b/>
          <w:sz w:val="24"/>
        </w:rPr>
        <w:t xml:space="preserve"> AIF</w:t>
      </w:r>
      <w:r>
        <w:rPr>
          <w:rFonts w:ascii="Times New Roman" w:hAnsi="Times New Roman"/>
          <w:b/>
          <w:sz w:val="24"/>
        </w:rPr>
        <w:t>S</w:t>
      </w:r>
      <w:r w:rsidRPr="00F62BB6">
        <w:rPr>
          <w:rFonts w:ascii="Times New Roman" w:hAnsi="Times New Roman"/>
          <w:b/>
          <w:sz w:val="24"/>
        </w:rPr>
        <w:t xml:space="preserve"> IN MEMBER STATE</w:t>
      </w:r>
      <w:r>
        <w:rPr>
          <w:rFonts w:ascii="Times New Roman" w:hAnsi="Times New Roman"/>
          <w:b/>
          <w:sz w:val="24"/>
        </w:rPr>
        <w:t>S</w:t>
      </w:r>
      <w:r w:rsidRPr="00F62BB6">
        <w:rPr>
          <w:rFonts w:ascii="Times New Roman" w:hAnsi="Times New Roman"/>
          <w:b/>
          <w:sz w:val="24"/>
        </w:rPr>
        <w:t xml:space="preserve"> OTHER THAN THE HOME MEMBER STATE OF THE AIFM</w:t>
      </w:r>
      <w:r>
        <w:rPr>
          <w:rFonts w:ascii="Times New Roman" w:hAnsi="Times New Roman"/>
          <w:b/>
          <w:sz w:val="24"/>
        </w:rPr>
        <w:t xml:space="preserve"> (Article 32 of the AIFMD)</w:t>
      </w:r>
    </w:p>
    <w:p w14:paraId="60A04EB1" w14:textId="77777777" w:rsidR="00F62BB6" w:rsidRPr="00F62BB6" w:rsidRDefault="000A3E9B" w:rsidP="00F62BB6">
      <w:pPr>
        <w:spacing w:line="240" w:lineRule="atLeast"/>
        <w:jc w:val="both"/>
        <w:rPr>
          <w:rFonts w:ascii="Times New Roman" w:hAnsi="Times New Roman"/>
          <w:sz w:val="24"/>
        </w:rPr>
      </w:pPr>
    </w:p>
    <w:p w14:paraId="00F7D1B8" w14:textId="77777777" w:rsidR="00F62BB6" w:rsidRPr="00F62BB6" w:rsidRDefault="003A1FB2" w:rsidP="00F62BB6">
      <w:pPr>
        <w:spacing w:line="240" w:lineRule="atLeast"/>
        <w:jc w:val="both"/>
        <w:rPr>
          <w:rFonts w:ascii="Times New Roman" w:hAnsi="Times New Roman"/>
          <w:sz w:val="24"/>
        </w:rPr>
      </w:pPr>
      <w:r w:rsidRPr="00F62BB6">
        <w:rPr>
          <w:rFonts w:ascii="Times New Roman" w:hAnsi="Times New Roman"/>
          <w:sz w:val="24"/>
        </w:rPr>
        <w:t>The information provided in this notification letter should not be ambiguous</w:t>
      </w:r>
    </w:p>
    <w:p w14:paraId="3E352529" w14:textId="77777777" w:rsidR="00F62BB6" w:rsidRPr="00F62BB6" w:rsidRDefault="000A3E9B" w:rsidP="00F62BB6">
      <w:pPr>
        <w:spacing w:line="240" w:lineRule="atLeast"/>
        <w:jc w:val="both"/>
        <w:rPr>
          <w:rFonts w:ascii="Times New Roman" w:hAnsi="Times New Roman"/>
          <w:sz w:val="24"/>
        </w:rPr>
      </w:pPr>
    </w:p>
    <w:p w14:paraId="17DF5AE8" w14:textId="77777777" w:rsidR="00A57102" w:rsidRPr="00A57102" w:rsidRDefault="003A1FB2" w:rsidP="00A57102">
      <w:pPr>
        <w:spacing w:line="240" w:lineRule="atLeast"/>
        <w:jc w:val="both"/>
        <w:rPr>
          <w:rFonts w:ascii="Times New Roman" w:hAnsi="Times New Roman"/>
          <w:b/>
          <w:sz w:val="24"/>
        </w:rPr>
      </w:pPr>
      <w:r w:rsidRPr="00A57102">
        <w:rPr>
          <w:rFonts w:ascii="Times New Roman" w:hAnsi="Times New Roman"/>
          <w:b/>
          <w:sz w:val="24"/>
        </w:rPr>
        <w:t xml:space="preserve">Are you notifying amendments to information already provided in an initial notification?  </w:t>
      </w:r>
    </w:p>
    <w:p w14:paraId="6EAF4062" w14:textId="77777777" w:rsidR="00F62BB6" w:rsidRPr="00F62BB6" w:rsidRDefault="003A1FB2" w:rsidP="00A57102">
      <w:pPr>
        <w:spacing w:line="240" w:lineRule="atLeast"/>
        <w:jc w:val="right"/>
        <w:rPr>
          <w:rFonts w:ascii="Times New Roman" w:hAnsi="Times New Roman"/>
          <w:sz w:val="24"/>
        </w:rPr>
      </w:pPr>
      <w:r w:rsidRPr="00F62BB6">
        <w:rPr>
          <w:rFonts w:ascii="Times New Roman" w:hAnsi="Times New Roman"/>
          <w:sz w:val="24"/>
        </w:rPr>
        <w:t xml:space="preserve"> Yes   </w:t>
      </w:r>
      <w:r>
        <w:rPr>
          <w:sz w:val="20"/>
        </w:rPr>
        <w:fldChar w:fldCharType="begin">
          <w:ffData>
            <w:name w:val="Check1"/>
            <w:enabled/>
            <w:calcOnExit w:val="0"/>
            <w:checkBox>
              <w:sizeAuto/>
              <w:default w:val="0"/>
            </w:checkBox>
          </w:ffData>
        </w:fldChar>
      </w:r>
      <w:r>
        <w:rPr>
          <w:sz w:val="20"/>
        </w:rPr>
        <w:instrText xml:space="preserve"> FORMCHECKBOX </w:instrText>
      </w:r>
      <w:r w:rsidR="000A3E9B">
        <w:rPr>
          <w:sz w:val="20"/>
        </w:rPr>
      </w:r>
      <w:r w:rsidR="000A3E9B">
        <w:rPr>
          <w:sz w:val="20"/>
        </w:rPr>
        <w:fldChar w:fldCharType="separate"/>
      </w:r>
      <w:r>
        <w:rPr>
          <w:sz w:val="20"/>
        </w:rPr>
        <w:fldChar w:fldCharType="end"/>
      </w:r>
      <w:r w:rsidRPr="00F62BB6">
        <w:rPr>
          <w:rFonts w:ascii="Times New Roman" w:hAnsi="Times New Roman"/>
          <w:sz w:val="24"/>
        </w:rPr>
        <w:t xml:space="preserve">    No </w:t>
      </w:r>
      <w:r>
        <w:rPr>
          <w:sz w:val="20"/>
        </w:rPr>
        <w:fldChar w:fldCharType="begin">
          <w:ffData>
            <w:name w:val="Check1"/>
            <w:enabled/>
            <w:calcOnExit w:val="0"/>
            <w:checkBox>
              <w:sizeAuto/>
              <w:default w:val="0"/>
            </w:checkBox>
          </w:ffData>
        </w:fldChar>
      </w:r>
      <w:r>
        <w:rPr>
          <w:sz w:val="20"/>
        </w:rPr>
        <w:instrText xml:space="preserve"> FORMCHECKBOX </w:instrText>
      </w:r>
      <w:r w:rsidR="000A3E9B">
        <w:rPr>
          <w:sz w:val="20"/>
        </w:rPr>
      </w:r>
      <w:r w:rsidR="000A3E9B">
        <w:rPr>
          <w:sz w:val="20"/>
        </w:rPr>
        <w:fldChar w:fldCharType="separate"/>
      </w:r>
      <w:r>
        <w:rPr>
          <w:sz w:val="20"/>
        </w:rPr>
        <w:fldChar w:fldCharType="end"/>
      </w:r>
    </w:p>
    <w:p w14:paraId="5445E217" w14:textId="77777777" w:rsidR="00F62BB6" w:rsidRPr="00F62BB6" w:rsidRDefault="000A3E9B" w:rsidP="00F62BB6">
      <w:pPr>
        <w:spacing w:line="240" w:lineRule="atLeast"/>
        <w:jc w:val="both"/>
        <w:rPr>
          <w:rFonts w:ascii="Times New Roman" w:hAnsi="Times New Roman"/>
          <w:sz w:val="24"/>
        </w:rPr>
      </w:pPr>
    </w:p>
    <w:p w14:paraId="17FF7B2D" w14:textId="77777777" w:rsidR="00A57102" w:rsidRPr="00A57102" w:rsidRDefault="003A1FB2" w:rsidP="00F62BB6">
      <w:pPr>
        <w:spacing w:line="240" w:lineRule="atLeast"/>
        <w:jc w:val="both"/>
        <w:rPr>
          <w:rFonts w:ascii="Times New Roman" w:hAnsi="Times New Roman"/>
          <w:b/>
          <w:sz w:val="24"/>
        </w:rPr>
      </w:pPr>
      <w:r w:rsidRPr="00A57102">
        <w:rPr>
          <w:rFonts w:ascii="Times New Roman" w:hAnsi="Times New Roman"/>
          <w:b/>
          <w:sz w:val="24"/>
        </w:rPr>
        <w:t xml:space="preserve">AIFM name: </w:t>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r w:rsidRPr="00A57102">
        <w:rPr>
          <w:rFonts w:ascii="Times New Roman" w:hAnsi="Times New Roman"/>
          <w:b/>
          <w:sz w:val="24"/>
        </w:rPr>
        <w:softHyphen/>
      </w:r>
    </w:p>
    <w:p w14:paraId="3F2539A0" w14:textId="77777777" w:rsidR="00A57102" w:rsidRDefault="000A3E9B" w:rsidP="00F62BB6">
      <w:pPr>
        <w:spacing w:line="240" w:lineRule="atLeast"/>
        <w:jc w:val="both"/>
        <w:rPr>
          <w:rFonts w:ascii="Times New Roman" w:hAnsi="Times New Roman"/>
          <w:sz w:val="24"/>
        </w:rPr>
      </w:pPr>
    </w:p>
    <w:p w14:paraId="12208585" w14:textId="77777777" w:rsidR="0023057B" w:rsidRDefault="003A1FB2" w:rsidP="00230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14:paraId="2A7347E5" w14:textId="77777777" w:rsidR="009569D0" w:rsidRDefault="009569D0" w:rsidP="00F62BB6">
      <w:pPr>
        <w:spacing w:line="240" w:lineRule="atLeast"/>
        <w:jc w:val="both"/>
        <w:rPr>
          <w:rFonts w:ascii="Times New Roman" w:hAnsi="Times New Roman"/>
          <w:sz w:val="24"/>
        </w:rPr>
      </w:pPr>
    </w:p>
    <w:p w14:paraId="0FB09C9A" w14:textId="1A08A1D3" w:rsidR="009569D0" w:rsidRPr="009569D0" w:rsidRDefault="009569D0" w:rsidP="00F62BB6">
      <w:pPr>
        <w:spacing w:line="240" w:lineRule="atLeast"/>
        <w:jc w:val="both"/>
        <w:rPr>
          <w:rFonts w:ascii="Times New Roman" w:hAnsi="Times New Roman"/>
          <w:b/>
          <w:sz w:val="24"/>
        </w:rPr>
      </w:pPr>
      <w:r w:rsidRPr="009569D0">
        <w:rPr>
          <w:rFonts w:ascii="Times New Roman" w:hAnsi="Times New Roman"/>
          <w:b/>
          <w:sz w:val="24"/>
        </w:rPr>
        <w:t>AIFM LEI:</w:t>
      </w:r>
    </w:p>
    <w:p w14:paraId="4D6DE657" w14:textId="69F52194" w:rsidR="009569D0" w:rsidRDefault="009569D0" w:rsidP="00F62BB6">
      <w:pPr>
        <w:spacing w:line="240" w:lineRule="atLeast"/>
        <w:jc w:val="both"/>
        <w:rPr>
          <w:rFonts w:ascii="Times New Roman" w:hAnsi="Times New Roman"/>
          <w:sz w:val="24"/>
        </w:rPr>
      </w:pPr>
    </w:p>
    <w:p w14:paraId="794D3FD5" w14:textId="77777777" w:rsidR="009569D0" w:rsidRDefault="009569D0" w:rsidP="009569D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14:paraId="7C1629C4" w14:textId="77777777" w:rsidR="009569D0" w:rsidRPr="00F62BB6" w:rsidRDefault="009569D0" w:rsidP="00F62BB6">
      <w:pPr>
        <w:spacing w:line="240" w:lineRule="atLeast"/>
        <w:jc w:val="both"/>
        <w:rPr>
          <w:rFonts w:ascii="Times New Roman" w:hAnsi="Times New Roman"/>
          <w:sz w:val="24"/>
        </w:rPr>
      </w:pPr>
    </w:p>
    <w:p w14:paraId="49206AD6" w14:textId="59D73553" w:rsidR="00F61C41" w:rsidRDefault="003A1FB2" w:rsidP="00F62BB6">
      <w:pPr>
        <w:spacing w:line="240" w:lineRule="atLeast"/>
        <w:jc w:val="both"/>
        <w:rPr>
          <w:rFonts w:ascii="Times New Roman" w:hAnsi="Times New Roman"/>
          <w:b/>
          <w:sz w:val="24"/>
        </w:rPr>
      </w:pPr>
      <w:r w:rsidRPr="00A57102">
        <w:rPr>
          <w:rFonts w:ascii="Times New Roman" w:hAnsi="Times New Roman"/>
          <w:b/>
          <w:sz w:val="24"/>
        </w:rPr>
        <w:t>Contact</w:t>
      </w:r>
      <w:r>
        <w:rPr>
          <w:rFonts w:ascii="Times New Roman" w:hAnsi="Times New Roman"/>
          <w:b/>
          <w:sz w:val="24"/>
        </w:rPr>
        <w:t xml:space="preserve"> name (including email address of the indicated contact person):</w:t>
      </w:r>
    </w:p>
    <w:p w14:paraId="7BAF7718" w14:textId="77777777" w:rsidR="00F61C41" w:rsidRDefault="000A3E9B" w:rsidP="00F61C41">
      <w:pPr>
        <w:spacing w:line="240" w:lineRule="atLeast"/>
        <w:jc w:val="both"/>
        <w:rPr>
          <w:rFonts w:ascii="Times New Roman" w:hAnsi="Times New Roman"/>
          <w:sz w:val="24"/>
        </w:rPr>
      </w:pPr>
    </w:p>
    <w:p w14:paraId="1578CE61" w14:textId="57F0BE28" w:rsidR="0023057B" w:rsidRDefault="003A1FB2" w:rsidP="0023057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u w:val="single"/>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14:paraId="49BBDA66" w14:textId="46B65B0A" w:rsidR="007E3A0C" w:rsidRDefault="007E3A0C" w:rsidP="0023057B">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u w:val="single"/>
        </w:rPr>
      </w:pPr>
    </w:p>
    <w:p w14:paraId="1A1330B6" w14:textId="252CCFE6" w:rsidR="007E3A0C" w:rsidRDefault="007E3A0C" w:rsidP="007E3A0C">
      <w:pPr>
        <w:spacing w:line="240" w:lineRule="atLeast"/>
        <w:jc w:val="both"/>
        <w:rPr>
          <w:rFonts w:ascii="Times New Roman" w:hAnsi="Times New Roman"/>
          <w:b/>
          <w:sz w:val="24"/>
        </w:rPr>
      </w:pPr>
      <w:r w:rsidRPr="00A57102">
        <w:rPr>
          <w:rFonts w:ascii="Times New Roman" w:hAnsi="Times New Roman"/>
          <w:b/>
          <w:sz w:val="24"/>
        </w:rPr>
        <w:t>Contact</w:t>
      </w:r>
      <w:r>
        <w:rPr>
          <w:rFonts w:ascii="Times New Roman" w:hAnsi="Times New Roman"/>
          <w:b/>
          <w:sz w:val="24"/>
        </w:rPr>
        <w:t xml:space="preserve"> name if a third party is appointed (including Legal form, Registered Office, Name of person to be contacted, Telephone number and email address of the indicated contact person):</w:t>
      </w:r>
    </w:p>
    <w:p w14:paraId="6D407CB2" w14:textId="77777777" w:rsidR="007E3A0C" w:rsidRDefault="007E3A0C" w:rsidP="007E3A0C">
      <w:pPr>
        <w:spacing w:line="240" w:lineRule="atLeast"/>
        <w:jc w:val="both"/>
        <w:rPr>
          <w:rFonts w:ascii="Times New Roman" w:hAnsi="Times New Roman"/>
          <w:sz w:val="24"/>
        </w:rPr>
      </w:pPr>
    </w:p>
    <w:p w14:paraId="5CCF5C42" w14:textId="43E82769" w:rsidR="007E3A0C" w:rsidRDefault="007E3A0C" w:rsidP="00230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14:paraId="5692200D" w14:textId="77777777" w:rsidR="00F61C41" w:rsidRDefault="000A3E9B" w:rsidP="00F62BB6">
      <w:pPr>
        <w:spacing w:line="240" w:lineRule="atLeast"/>
        <w:jc w:val="both"/>
        <w:rPr>
          <w:rFonts w:ascii="Times New Roman" w:hAnsi="Times New Roman"/>
          <w:b/>
          <w:sz w:val="24"/>
        </w:rPr>
      </w:pPr>
    </w:p>
    <w:p w14:paraId="3EE47122" w14:textId="77777777" w:rsidR="00F62BB6" w:rsidRDefault="003A1FB2" w:rsidP="00F62BB6">
      <w:pPr>
        <w:spacing w:line="240" w:lineRule="atLeast"/>
        <w:jc w:val="both"/>
        <w:rPr>
          <w:rFonts w:ascii="Times New Roman" w:hAnsi="Times New Roman"/>
          <w:b/>
          <w:sz w:val="24"/>
        </w:rPr>
      </w:pPr>
      <w:r>
        <w:rPr>
          <w:rFonts w:ascii="Times New Roman" w:hAnsi="Times New Roman"/>
          <w:b/>
          <w:sz w:val="24"/>
        </w:rPr>
        <w:t xml:space="preserve"> R</w:t>
      </w:r>
      <w:r w:rsidRPr="00A57102">
        <w:rPr>
          <w:rFonts w:ascii="Times New Roman" w:hAnsi="Times New Roman"/>
          <w:b/>
          <w:sz w:val="24"/>
        </w:rPr>
        <w:t>egistered address of the AIFM:</w:t>
      </w:r>
    </w:p>
    <w:p w14:paraId="5CD4FA18" w14:textId="77777777" w:rsidR="00F61C41" w:rsidRDefault="000A3E9B" w:rsidP="00F62BB6">
      <w:pPr>
        <w:spacing w:line="240" w:lineRule="atLeast"/>
        <w:jc w:val="both"/>
        <w:rPr>
          <w:rFonts w:ascii="Times New Roman" w:hAnsi="Times New Roman"/>
          <w:b/>
          <w:sz w:val="24"/>
        </w:rPr>
      </w:pPr>
    </w:p>
    <w:p w14:paraId="718B5544" w14:textId="77777777" w:rsidR="0023057B" w:rsidRDefault="003A1FB2" w:rsidP="00230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14:paraId="0952F6C9" w14:textId="77777777" w:rsidR="00536DFA" w:rsidRPr="00A57102" w:rsidRDefault="000A3E9B" w:rsidP="00F62BB6">
      <w:pPr>
        <w:spacing w:line="240" w:lineRule="atLeast"/>
        <w:jc w:val="both"/>
        <w:rPr>
          <w:rFonts w:ascii="Times New Roman" w:hAnsi="Times New Roman"/>
          <w:b/>
          <w:sz w:val="24"/>
        </w:rPr>
      </w:pPr>
    </w:p>
    <w:p w14:paraId="4ED231D8" w14:textId="77777777" w:rsidR="00F62BB6" w:rsidRPr="00A57102" w:rsidRDefault="003A1FB2" w:rsidP="00F62BB6">
      <w:pPr>
        <w:spacing w:line="240" w:lineRule="atLeast"/>
        <w:jc w:val="both"/>
        <w:rPr>
          <w:rFonts w:ascii="Times New Roman" w:hAnsi="Times New Roman"/>
          <w:b/>
          <w:sz w:val="24"/>
        </w:rPr>
      </w:pPr>
      <w:r w:rsidRPr="00A57102">
        <w:rPr>
          <w:rFonts w:ascii="Times New Roman" w:hAnsi="Times New Roman"/>
          <w:b/>
          <w:sz w:val="24"/>
        </w:rPr>
        <w:t>Member State in which the AIFM intends to market the units or shares of the AIF to professional investors:</w:t>
      </w:r>
    </w:p>
    <w:p w14:paraId="70CF077A" w14:textId="77777777" w:rsidR="00A57102" w:rsidRDefault="000A3E9B" w:rsidP="00F62BB6">
      <w:pPr>
        <w:spacing w:line="240" w:lineRule="atLeast"/>
        <w:jc w:val="both"/>
        <w:rPr>
          <w:rFonts w:ascii="Times New Roman" w:hAnsi="Times New Roman"/>
          <w:sz w:val="24"/>
        </w:rPr>
      </w:pPr>
    </w:p>
    <w:p w14:paraId="515ED59F" w14:textId="77777777" w:rsidR="00F62BB6" w:rsidRPr="0023057B" w:rsidRDefault="003A1FB2" w:rsidP="00230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14:paraId="3E3609CE" w14:textId="0E9C64E7" w:rsidR="00A57102" w:rsidRDefault="000A3E9B" w:rsidP="00F62BB6">
      <w:pPr>
        <w:spacing w:line="240" w:lineRule="atLeast"/>
        <w:jc w:val="both"/>
        <w:rPr>
          <w:rFonts w:ascii="Times New Roman" w:hAnsi="Times New Roman"/>
          <w:sz w:val="24"/>
        </w:rPr>
      </w:pPr>
    </w:p>
    <w:p w14:paraId="0D16182D" w14:textId="4E7C35AC" w:rsidR="00DD07D7" w:rsidRDefault="00DD07D7" w:rsidP="00DD07D7">
      <w:pPr>
        <w:autoSpaceDE w:val="0"/>
        <w:autoSpaceDN w:val="0"/>
        <w:adjustRightInd w:val="0"/>
        <w:rPr>
          <w:rFonts w:ascii="Times New Roman" w:hAnsi="Times New Roman"/>
          <w:b/>
          <w:sz w:val="24"/>
        </w:rPr>
      </w:pPr>
      <w:r w:rsidRPr="00DD07D7">
        <w:rPr>
          <w:rFonts w:ascii="Times New Roman" w:hAnsi="Times New Roman"/>
          <w:b/>
          <w:sz w:val="24"/>
        </w:rPr>
        <w:t>Does the AIF have compartments? Yes/No</w:t>
      </w:r>
    </w:p>
    <w:p w14:paraId="0E23DCFB" w14:textId="10E14654" w:rsidR="00DD07D7" w:rsidRDefault="00DD07D7" w:rsidP="00DD07D7">
      <w:pPr>
        <w:autoSpaceDE w:val="0"/>
        <w:autoSpaceDN w:val="0"/>
        <w:adjustRightInd w:val="0"/>
        <w:rPr>
          <w:rFonts w:ascii="Times New Roman" w:hAnsi="Times New Roman"/>
          <w:b/>
          <w:sz w:val="24"/>
        </w:rPr>
      </w:pPr>
    </w:p>
    <w:p w14:paraId="2D53C063" w14:textId="195C9336" w:rsidR="00DD07D7" w:rsidRDefault="00DD07D7" w:rsidP="00DD07D7">
      <w:pPr>
        <w:autoSpaceDE w:val="0"/>
        <w:autoSpaceDN w:val="0"/>
        <w:adjustRightInd w:val="0"/>
        <w:rPr>
          <w:sz w:val="20"/>
          <w:u w:val="single"/>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14:paraId="0F8837CA" w14:textId="77D10A8F" w:rsidR="003507DE" w:rsidRDefault="003507DE" w:rsidP="00DD07D7">
      <w:pPr>
        <w:autoSpaceDE w:val="0"/>
        <w:autoSpaceDN w:val="0"/>
        <w:adjustRightInd w:val="0"/>
        <w:rPr>
          <w:sz w:val="20"/>
          <w:u w:val="single"/>
        </w:rPr>
      </w:pPr>
    </w:p>
    <w:p w14:paraId="298F0969" w14:textId="6F68C58D" w:rsidR="003507DE" w:rsidRDefault="003507DE" w:rsidP="00DD07D7">
      <w:pPr>
        <w:autoSpaceDE w:val="0"/>
        <w:autoSpaceDN w:val="0"/>
        <w:adjustRightInd w:val="0"/>
        <w:rPr>
          <w:sz w:val="20"/>
          <w:u w:val="single"/>
        </w:rPr>
      </w:pPr>
    </w:p>
    <w:p w14:paraId="216FAC35" w14:textId="542E3C01" w:rsidR="003507DE" w:rsidRDefault="003507DE" w:rsidP="00DD07D7">
      <w:pPr>
        <w:autoSpaceDE w:val="0"/>
        <w:autoSpaceDN w:val="0"/>
        <w:adjustRightInd w:val="0"/>
        <w:rPr>
          <w:sz w:val="20"/>
          <w:u w:val="single"/>
        </w:rPr>
      </w:pPr>
    </w:p>
    <w:p w14:paraId="0CC0C889" w14:textId="5AD9DEE6" w:rsidR="003507DE" w:rsidRDefault="003507DE" w:rsidP="00DD07D7">
      <w:pPr>
        <w:autoSpaceDE w:val="0"/>
        <w:autoSpaceDN w:val="0"/>
        <w:adjustRightInd w:val="0"/>
        <w:rPr>
          <w:sz w:val="20"/>
          <w:u w:val="single"/>
        </w:rPr>
      </w:pPr>
    </w:p>
    <w:p w14:paraId="7349010F" w14:textId="52BA7EAE" w:rsidR="003507DE" w:rsidRDefault="003507DE" w:rsidP="00DD07D7">
      <w:pPr>
        <w:autoSpaceDE w:val="0"/>
        <w:autoSpaceDN w:val="0"/>
        <w:adjustRightInd w:val="0"/>
        <w:rPr>
          <w:sz w:val="20"/>
          <w:u w:val="single"/>
        </w:rPr>
      </w:pPr>
    </w:p>
    <w:p w14:paraId="579AB825" w14:textId="77777777" w:rsidR="003507DE" w:rsidRPr="00DD07D7" w:rsidRDefault="003507DE" w:rsidP="00DD07D7">
      <w:pPr>
        <w:autoSpaceDE w:val="0"/>
        <w:autoSpaceDN w:val="0"/>
        <w:adjustRightInd w:val="0"/>
        <w:rPr>
          <w:rFonts w:ascii="Times New Roman" w:hAnsi="Times New Roman"/>
          <w:b/>
          <w:sz w:val="24"/>
        </w:rPr>
      </w:pPr>
    </w:p>
    <w:p w14:paraId="23AA2B06" w14:textId="706B590D" w:rsidR="00DD07D7" w:rsidRDefault="00DD07D7" w:rsidP="00DD07D7">
      <w:pPr>
        <w:rPr>
          <w:b/>
          <w:sz w:val="20"/>
          <w:szCs w:val="20"/>
        </w:rPr>
      </w:pPr>
    </w:p>
    <w:p w14:paraId="76E2DBA5" w14:textId="19FBFE37" w:rsidR="003507DE" w:rsidRPr="00E45BFA" w:rsidRDefault="003507DE">
      <w:pPr>
        <w:rPr>
          <w:b/>
          <w:sz w:val="20"/>
          <w:szCs w:val="20"/>
        </w:rPr>
      </w:pPr>
      <w:r>
        <w:rPr>
          <w:b/>
          <w:sz w:val="20"/>
          <w:szCs w:val="20"/>
        </w:rPr>
        <w:br w:type="page"/>
      </w:r>
    </w:p>
    <w:p w14:paraId="0E59C773" w14:textId="65974299" w:rsidR="00831B78" w:rsidRPr="0023057B" w:rsidRDefault="003A1FB2" w:rsidP="0023057B">
      <w:pPr>
        <w:spacing w:line="240" w:lineRule="atLeast"/>
        <w:jc w:val="both"/>
        <w:rPr>
          <w:rFonts w:ascii="Times New Roman" w:hAnsi="Times New Roman"/>
          <w:b/>
          <w:sz w:val="24"/>
        </w:rPr>
      </w:pPr>
      <w:r w:rsidRPr="00F36439">
        <w:rPr>
          <w:rFonts w:ascii="Times New Roman" w:hAnsi="Times New Roman"/>
          <w:b/>
          <w:sz w:val="24"/>
        </w:rPr>
        <w:lastRenderedPageBreak/>
        <w:t>Information on the arrangements established to prevent units or shares of the AIF from being marketed to retail investors, including in the case where the AIFM relies on activities of independent entities to provide investment services in respect of the AIF:</w:t>
      </w:r>
    </w:p>
    <w:p w14:paraId="2545359C" w14:textId="77777777" w:rsidR="00F66FBB" w:rsidRDefault="000A3E9B">
      <w:pPr>
        <w:rPr>
          <w:rFonts w:ascii="Times New Roman" w:hAnsi="Times New Roman"/>
          <w:sz w:val="24"/>
        </w:rPr>
      </w:pPr>
    </w:p>
    <w:p w14:paraId="6B26694D" w14:textId="77777777" w:rsidR="0023057B" w:rsidRDefault="003A1FB2" w:rsidP="00230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14:paraId="5DC7B229" w14:textId="77777777" w:rsidR="00F66FBB" w:rsidRDefault="000A3E9B">
      <w:pPr>
        <w:rPr>
          <w:rFonts w:ascii="Times New Roman" w:hAnsi="Times New Roman"/>
          <w:sz w:val="24"/>
        </w:rPr>
      </w:pPr>
    </w:p>
    <w:p w14:paraId="72FCB99B" w14:textId="77777777" w:rsidR="007E3A0C" w:rsidRDefault="007E3A0C">
      <w:pPr>
        <w:rPr>
          <w:rFonts w:ascii="Times New Roman" w:hAnsi="Times New Roman"/>
          <w:sz w:val="24"/>
        </w:rPr>
      </w:pPr>
    </w:p>
    <w:p w14:paraId="646971E8" w14:textId="01A2ED09" w:rsidR="007E3A0C" w:rsidRPr="0023057B" w:rsidRDefault="007E3A0C" w:rsidP="007E3A0C">
      <w:pPr>
        <w:spacing w:line="240" w:lineRule="atLeast"/>
        <w:jc w:val="both"/>
        <w:rPr>
          <w:rFonts w:ascii="Times New Roman" w:hAnsi="Times New Roman"/>
          <w:b/>
          <w:sz w:val="24"/>
        </w:rPr>
      </w:pPr>
      <w:r>
        <w:rPr>
          <w:rFonts w:ascii="Times New Roman" w:hAnsi="Times New Roman"/>
          <w:b/>
          <w:sz w:val="24"/>
        </w:rPr>
        <w:t>Scope of activities of the AIFM in the AIF host Member State</w:t>
      </w:r>
    </w:p>
    <w:p w14:paraId="3C43C233" w14:textId="77777777" w:rsidR="007E3A0C" w:rsidRDefault="007E3A0C" w:rsidP="007E3A0C">
      <w:pPr>
        <w:rPr>
          <w:rFonts w:ascii="Times New Roman" w:hAnsi="Times New Roman"/>
          <w:sz w:val="24"/>
        </w:rPr>
      </w:pPr>
    </w:p>
    <w:p w14:paraId="0E7DEE1B" w14:textId="77777777" w:rsidR="007E3A0C" w:rsidRDefault="007E3A0C" w:rsidP="007E3A0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14:paraId="19CD7A85" w14:textId="77777777" w:rsidR="007E3A0C" w:rsidRDefault="007E3A0C">
      <w:pPr>
        <w:rPr>
          <w:rFonts w:ascii="Times New Roman" w:hAnsi="Times New Roman"/>
          <w:sz w:val="24"/>
        </w:rPr>
      </w:pPr>
    </w:p>
    <w:p w14:paraId="4D4656E5" w14:textId="77777777" w:rsidR="007E3A0C" w:rsidRDefault="007E3A0C">
      <w:pPr>
        <w:rPr>
          <w:rFonts w:ascii="Times New Roman" w:hAnsi="Times New Roman"/>
          <w:sz w:val="24"/>
        </w:rPr>
      </w:pPr>
    </w:p>
    <w:p w14:paraId="36F54E17" w14:textId="2C55397F" w:rsidR="007E3A0C" w:rsidRDefault="007E3A0C" w:rsidP="007E3A0C">
      <w:pPr>
        <w:spacing w:line="240" w:lineRule="atLeast"/>
        <w:jc w:val="both"/>
        <w:rPr>
          <w:rFonts w:ascii="Times New Roman" w:hAnsi="Times New Roman"/>
          <w:b/>
          <w:sz w:val="24"/>
        </w:rPr>
      </w:pPr>
      <w:r>
        <w:rPr>
          <w:rFonts w:ascii="Times New Roman" w:hAnsi="Times New Roman"/>
          <w:b/>
          <w:sz w:val="24"/>
        </w:rPr>
        <w:t>Additional information about the AIFM/Sellf-Managed AI</w:t>
      </w:r>
      <w:r w:rsidR="00DD07D7">
        <w:rPr>
          <w:rFonts w:ascii="Times New Roman" w:hAnsi="Times New Roman"/>
          <w:b/>
          <w:sz w:val="24"/>
        </w:rPr>
        <w:t>F</w:t>
      </w:r>
      <w:r>
        <w:rPr>
          <w:rFonts w:ascii="Times New Roman" w:hAnsi="Times New Roman"/>
          <w:b/>
          <w:sz w:val="24"/>
        </w:rPr>
        <w:t xml:space="preserve"> [if necessary]</w:t>
      </w:r>
    </w:p>
    <w:p w14:paraId="40529DAE" w14:textId="77777777" w:rsidR="007E3A0C" w:rsidRDefault="007E3A0C" w:rsidP="007E3A0C">
      <w:pPr>
        <w:rPr>
          <w:rFonts w:ascii="Times New Roman" w:hAnsi="Times New Roman"/>
          <w:sz w:val="24"/>
        </w:rPr>
      </w:pPr>
    </w:p>
    <w:p w14:paraId="3C77FA19" w14:textId="77777777" w:rsidR="007E3A0C" w:rsidRDefault="007E3A0C" w:rsidP="007E3A0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14:paraId="257F8CF0" w14:textId="77777777" w:rsidR="007E3A0C" w:rsidRDefault="007E3A0C">
      <w:pPr>
        <w:rPr>
          <w:rFonts w:ascii="Times New Roman" w:hAnsi="Times New Roman"/>
          <w:sz w:val="24"/>
        </w:rPr>
      </w:pPr>
    </w:p>
    <w:p w14:paraId="48C9C8CE" w14:textId="77777777" w:rsidR="007E3A0C" w:rsidRDefault="007E3A0C">
      <w:pPr>
        <w:rPr>
          <w:rFonts w:ascii="Times New Roman" w:hAnsi="Times New Roman"/>
          <w:sz w:val="24"/>
        </w:rPr>
      </w:pPr>
    </w:p>
    <w:p w14:paraId="4C1E7929" w14:textId="77777777" w:rsidR="007E3A0C" w:rsidRDefault="007E3A0C">
      <w:pPr>
        <w:rPr>
          <w:rFonts w:ascii="Times New Roman" w:hAnsi="Times New Roman"/>
          <w:sz w:val="24"/>
        </w:rPr>
      </w:pPr>
    </w:p>
    <w:p w14:paraId="4DB1CB98" w14:textId="5C8B79AD" w:rsidR="007E3A0C" w:rsidRDefault="007E3A0C">
      <w:pPr>
        <w:rPr>
          <w:rFonts w:ascii="Times New Roman" w:hAnsi="Times New Roman"/>
          <w:sz w:val="24"/>
        </w:rPr>
      </w:pPr>
    </w:p>
    <w:p w14:paraId="6DC7D90E" w14:textId="26DEEDEA" w:rsidR="00DD07D7" w:rsidRDefault="00DD07D7">
      <w:pPr>
        <w:rPr>
          <w:rFonts w:ascii="Times New Roman" w:hAnsi="Times New Roman"/>
          <w:sz w:val="24"/>
        </w:rPr>
      </w:pPr>
    </w:p>
    <w:p w14:paraId="5159FF5A" w14:textId="781130A4" w:rsidR="003507DE" w:rsidRDefault="003507DE">
      <w:pPr>
        <w:rPr>
          <w:rFonts w:ascii="Times New Roman" w:hAnsi="Times New Roman"/>
          <w:sz w:val="24"/>
        </w:rPr>
      </w:pPr>
      <w:r>
        <w:rPr>
          <w:rFonts w:ascii="Times New Roman" w:hAnsi="Times New Roman"/>
          <w:sz w:val="24"/>
        </w:rPr>
        <w:br w:type="page"/>
      </w:r>
    </w:p>
    <w:p w14:paraId="4683EC67" w14:textId="77777777" w:rsidR="00DD07D7" w:rsidRDefault="00DD07D7">
      <w:pPr>
        <w:rPr>
          <w:rFonts w:ascii="Times New Roman" w:hAnsi="Times New Roman"/>
          <w:sz w:val="24"/>
        </w:rPr>
      </w:pPr>
    </w:p>
    <w:p w14:paraId="38DC7018" w14:textId="77777777" w:rsidR="007E3A0C" w:rsidRPr="00146058" w:rsidRDefault="007E3A0C" w:rsidP="007E3A0C">
      <w:pPr>
        <w:autoSpaceDE w:val="0"/>
        <w:autoSpaceDN w:val="0"/>
        <w:adjustRightInd w:val="0"/>
        <w:rPr>
          <w:rFonts w:ascii="Times New Roman" w:hAnsi="Times New Roman"/>
          <w:b/>
          <w:sz w:val="24"/>
        </w:rPr>
      </w:pPr>
      <w:r w:rsidRPr="00146058">
        <w:rPr>
          <w:rFonts w:ascii="Times New Roman" w:hAnsi="Times New Roman"/>
          <w:b/>
          <w:sz w:val="24"/>
        </w:rPr>
        <w:t>Facilities to retail investors (if relevant)</w:t>
      </w:r>
    </w:p>
    <w:p w14:paraId="7BC51571" w14:textId="77777777" w:rsidR="007E3A0C" w:rsidRDefault="007E3A0C" w:rsidP="007E3A0C">
      <w:pPr>
        <w:autoSpaceDE w:val="0"/>
        <w:autoSpaceDN w:val="0"/>
        <w:adjustRightInd w:val="0"/>
        <w:rPr>
          <w:b/>
          <w:bCs/>
          <w:sz w:val="20"/>
        </w:rPr>
      </w:pPr>
    </w:p>
    <w:p w14:paraId="52D49041" w14:textId="77777777" w:rsidR="007E3A0C" w:rsidRPr="00146058" w:rsidRDefault="007E3A0C" w:rsidP="007E3A0C">
      <w:pPr>
        <w:autoSpaceDE w:val="0"/>
        <w:autoSpaceDN w:val="0"/>
        <w:adjustRightInd w:val="0"/>
        <w:rPr>
          <w:rFonts w:ascii="Times New Roman" w:hAnsi="Times New Roman"/>
          <w:b/>
          <w:sz w:val="24"/>
        </w:rPr>
      </w:pPr>
      <w:r w:rsidRPr="00146058">
        <w:rPr>
          <w:rFonts w:ascii="Times New Roman" w:hAnsi="Times New Roman"/>
          <w:b/>
          <w:sz w:val="24"/>
        </w:rPr>
        <w:t xml:space="preserve">Pursuant to Article 31(1) of Directive 2011/61/EU, EU AIFMs are authorised to market units or shares of EU AIFs they manage to professional investors in other Member States than their home Member State. However, Member States may allow AIFMs to market to retail investors in their territory units or shares of AIFs they manage. </w:t>
      </w:r>
    </w:p>
    <w:p w14:paraId="3FAEDF5C" w14:textId="77777777" w:rsidR="007E3A0C" w:rsidRPr="00146058" w:rsidRDefault="007E3A0C" w:rsidP="007E3A0C">
      <w:pPr>
        <w:autoSpaceDE w:val="0"/>
        <w:autoSpaceDN w:val="0"/>
        <w:adjustRightInd w:val="0"/>
        <w:rPr>
          <w:rFonts w:ascii="Times New Roman" w:hAnsi="Times New Roman"/>
          <w:b/>
          <w:sz w:val="24"/>
        </w:rPr>
      </w:pPr>
    </w:p>
    <w:p w14:paraId="32BBACC8" w14:textId="77777777" w:rsidR="007E3A0C" w:rsidRPr="00146058" w:rsidRDefault="007E3A0C" w:rsidP="007E3A0C">
      <w:pPr>
        <w:autoSpaceDE w:val="0"/>
        <w:autoSpaceDN w:val="0"/>
        <w:adjustRightInd w:val="0"/>
        <w:rPr>
          <w:rFonts w:ascii="Times New Roman" w:hAnsi="Times New Roman"/>
          <w:b/>
          <w:sz w:val="24"/>
        </w:rPr>
      </w:pPr>
      <w:r w:rsidRPr="00146058">
        <w:rPr>
          <w:rFonts w:ascii="Times New Roman" w:hAnsi="Times New Roman"/>
          <w:b/>
          <w:sz w:val="24"/>
        </w:rPr>
        <w:t>The below information must be filled in case marketing of the AIFs identified in the “information on the AIF section” below targets retail investors.</w:t>
      </w:r>
    </w:p>
    <w:p w14:paraId="64E03EC2" w14:textId="77777777" w:rsidR="007E3A0C" w:rsidRPr="00146058" w:rsidRDefault="007E3A0C" w:rsidP="007E3A0C">
      <w:pPr>
        <w:autoSpaceDE w:val="0"/>
        <w:autoSpaceDN w:val="0"/>
        <w:adjustRightInd w:val="0"/>
        <w:rPr>
          <w:rFonts w:ascii="Times New Roman" w:hAnsi="Times New Roman"/>
          <w:b/>
          <w:sz w:val="24"/>
        </w:rPr>
      </w:pPr>
    </w:p>
    <w:p w14:paraId="09D48AF8" w14:textId="77777777" w:rsidR="007E3A0C" w:rsidRPr="00146058" w:rsidRDefault="007E3A0C" w:rsidP="007E3A0C">
      <w:pPr>
        <w:autoSpaceDE w:val="0"/>
        <w:autoSpaceDN w:val="0"/>
        <w:adjustRightInd w:val="0"/>
        <w:rPr>
          <w:rFonts w:ascii="Times New Roman" w:hAnsi="Times New Roman"/>
          <w:b/>
          <w:sz w:val="24"/>
        </w:rPr>
      </w:pPr>
      <w:r w:rsidRPr="00146058">
        <w:rPr>
          <w:rFonts w:ascii="Times New Roman" w:hAnsi="Times New Roman"/>
          <w:b/>
          <w:sz w:val="24"/>
        </w:rPr>
        <w:t>In accordance with point (j) of Annex IV of Directive 2011/61/EU, please fill-in the following table to provide information on the facilities to perform the tasks referred to in Article 42</w:t>
      </w:r>
      <w:proofErr w:type="gramStart"/>
      <w:r w:rsidRPr="00146058">
        <w:rPr>
          <w:rFonts w:ascii="Times New Roman" w:hAnsi="Times New Roman"/>
          <w:b/>
          <w:sz w:val="24"/>
        </w:rPr>
        <w:t>a(</w:t>
      </w:r>
      <w:proofErr w:type="gramEnd"/>
      <w:r w:rsidRPr="00146058">
        <w:rPr>
          <w:rFonts w:ascii="Times New Roman" w:hAnsi="Times New Roman"/>
          <w:b/>
          <w:sz w:val="24"/>
        </w:rPr>
        <w:t>1) of this Directive:</w:t>
      </w:r>
    </w:p>
    <w:p w14:paraId="39E4148D" w14:textId="77777777" w:rsidR="007E3A0C" w:rsidRPr="000937FD" w:rsidRDefault="007E3A0C" w:rsidP="007E3A0C">
      <w:pPr>
        <w:autoSpaceDE w:val="0"/>
        <w:autoSpaceDN w:val="0"/>
        <w:adjustRightInd w:val="0"/>
        <w:rPr>
          <w:sz w:val="20"/>
        </w:rPr>
      </w:pPr>
    </w:p>
    <w:tbl>
      <w:tblPr>
        <w:tblStyle w:val="TableGrid"/>
        <w:tblW w:w="0" w:type="auto"/>
        <w:tblLook w:val="04A0" w:firstRow="1" w:lastRow="0" w:firstColumn="1" w:lastColumn="0" w:noHBand="0" w:noVBand="1"/>
      </w:tblPr>
      <w:tblGrid>
        <w:gridCol w:w="2922"/>
        <w:gridCol w:w="3662"/>
        <w:gridCol w:w="2432"/>
      </w:tblGrid>
      <w:tr w:rsidR="007E3A0C" w:rsidRPr="000937FD" w14:paraId="4A7A5EDD" w14:textId="77777777" w:rsidTr="00146058">
        <w:tc>
          <w:tcPr>
            <w:tcW w:w="2922" w:type="dxa"/>
          </w:tcPr>
          <w:p w14:paraId="7DF5317F" w14:textId="77777777" w:rsidR="007E3A0C" w:rsidRPr="00DD07D7" w:rsidRDefault="007E3A0C" w:rsidP="00DD07D7">
            <w:pPr>
              <w:rPr>
                <w:b/>
                <w:sz w:val="20"/>
                <w:szCs w:val="20"/>
              </w:rPr>
            </w:pPr>
            <w:r w:rsidRPr="00DD07D7">
              <w:rPr>
                <w:b/>
                <w:sz w:val="20"/>
                <w:szCs w:val="20"/>
              </w:rPr>
              <w:t>Task of facility</w:t>
            </w:r>
          </w:p>
        </w:tc>
        <w:tc>
          <w:tcPr>
            <w:tcW w:w="3662" w:type="dxa"/>
          </w:tcPr>
          <w:p w14:paraId="4278D1E4" w14:textId="77777777" w:rsidR="007E3A0C" w:rsidRPr="00DD07D7" w:rsidRDefault="007E3A0C" w:rsidP="00DD07D7">
            <w:pPr>
              <w:rPr>
                <w:b/>
                <w:sz w:val="20"/>
                <w:szCs w:val="20"/>
              </w:rPr>
            </w:pPr>
            <w:r w:rsidRPr="00DD07D7">
              <w:rPr>
                <w:b/>
                <w:sz w:val="20"/>
                <w:szCs w:val="20"/>
              </w:rPr>
              <w:t>Information on the facilities performing the tasks</w:t>
            </w:r>
          </w:p>
          <w:p w14:paraId="3019024D" w14:textId="77777777" w:rsidR="007E3A0C" w:rsidRPr="00DD07D7" w:rsidRDefault="007E3A0C" w:rsidP="00DD07D7">
            <w:pPr>
              <w:rPr>
                <w:b/>
                <w:sz w:val="20"/>
                <w:szCs w:val="20"/>
              </w:rPr>
            </w:pPr>
          </w:p>
        </w:tc>
        <w:tc>
          <w:tcPr>
            <w:tcW w:w="2432" w:type="dxa"/>
          </w:tcPr>
          <w:p w14:paraId="4A7A2215" w14:textId="77777777" w:rsidR="007E3A0C" w:rsidRPr="000937FD" w:rsidRDefault="007E3A0C" w:rsidP="00EE1166">
            <w:pPr>
              <w:autoSpaceDE w:val="0"/>
              <w:autoSpaceDN w:val="0"/>
              <w:adjustRightInd w:val="0"/>
              <w:spacing w:before="120" w:after="120"/>
              <w:jc w:val="center"/>
              <w:rPr>
                <w:b/>
                <w:bCs/>
                <w:sz w:val="20"/>
              </w:rPr>
            </w:pPr>
            <w:r>
              <w:rPr>
                <w:b/>
                <w:bCs/>
                <w:sz w:val="20"/>
              </w:rPr>
              <w:t xml:space="preserve">Name/legal form/registered office/ address, </w:t>
            </w:r>
            <w:proofErr w:type="gramStart"/>
            <w:r>
              <w:rPr>
                <w:b/>
                <w:bCs/>
                <w:sz w:val="20"/>
              </w:rPr>
              <w:t>e-mail</w:t>
            </w:r>
            <w:proofErr w:type="gramEnd"/>
            <w:r>
              <w:rPr>
                <w:b/>
                <w:bCs/>
                <w:sz w:val="20"/>
              </w:rPr>
              <w:t xml:space="preserve"> and telephone number for correspondence of the person responsible to provide the facilities</w:t>
            </w:r>
          </w:p>
        </w:tc>
      </w:tr>
      <w:tr w:rsidR="00146058" w:rsidRPr="000937FD" w14:paraId="3073343C" w14:textId="77777777" w:rsidTr="00146058">
        <w:tc>
          <w:tcPr>
            <w:tcW w:w="2922" w:type="dxa"/>
          </w:tcPr>
          <w:p w14:paraId="539618F4" w14:textId="77777777" w:rsidR="00146058" w:rsidRPr="00DD07D7" w:rsidRDefault="00146058" w:rsidP="00146058">
            <w:pPr>
              <w:rPr>
                <w:b/>
                <w:sz w:val="20"/>
                <w:szCs w:val="20"/>
              </w:rPr>
            </w:pPr>
            <w:r w:rsidRPr="00DD07D7">
              <w:rPr>
                <w:b/>
                <w:sz w:val="20"/>
                <w:szCs w:val="20"/>
              </w:rPr>
              <w:t>Process investor’s subscription, payment and redemption orders relating to the unites or shares of the AIF</w:t>
            </w:r>
          </w:p>
        </w:tc>
        <w:tc>
          <w:tcPr>
            <w:tcW w:w="3662" w:type="dxa"/>
          </w:tcPr>
          <w:p w14:paraId="40482C38" w14:textId="4F918D15" w:rsidR="00146058" w:rsidRPr="00DD07D7" w:rsidRDefault="00146058" w:rsidP="00146058">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432" w:type="dxa"/>
          </w:tcPr>
          <w:p w14:paraId="2BD5498B" w14:textId="6B4705EA" w:rsidR="00146058" w:rsidRPr="000937FD" w:rsidRDefault="00146058" w:rsidP="00146058">
            <w:pPr>
              <w:autoSpaceDE w:val="0"/>
              <w:autoSpaceDN w:val="0"/>
              <w:adjustRightInd w:val="0"/>
              <w:spacing w:before="120" w:after="120"/>
              <w:rPr>
                <w:sz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46058" w:rsidRPr="000937FD" w14:paraId="7D52EA55" w14:textId="77777777" w:rsidTr="00146058">
        <w:tc>
          <w:tcPr>
            <w:tcW w:w="2922" w:type="dxa"/>
          </w:tcPr>
          <w:p w14:paraId="4EA7BA5D" w14:textId="77777777" w:rsidR="00146058" w:rsidRPr="00DD07D7" w:rsidRDefault="00146058" w:rsidP="00146058">
            <w:pPr>
              <w:rPr>
                <w:b/>
                <w:sz w:val="20"/>
                <w:szCs w:val="20"/>
              </w:rPr>
            </w:pPr>
            <w:r w:rsidRPr="00DD07D7">
              <w:rPr>
                <w:b/>
                <w:sz w:val="20"/>
                <w:szCs w:val="20"/>
              </w:rPr>
              <w:t>Provide investors on how orders referred to above can be made and how repurchase and redemption proceeds are paid</w:t>
            </w:r>
          </w:p>
        </w:tc>
        <w:tc>
          <w:tcPr>
            <w:tcW w:w="3662" w:type="dxa"/>
          </w:tcPr>
          <w:p w14:paraId="13A55017" w14:textId="1DDE36E6" w:rsidR="00146058" w:rsidRPr="00DD07D7" w:rsidRDefault="00146058" w:rsidP="00146058">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432" w:type="dxa"/>
          </w:tcPr>
          <w:p w14:paraId="47FE2EB6" w14:textId="1EBADF37" w:rsidR="00146058" w:rsidRPr="000937FD" w:rsidRDefault="00146058" w:rsidP="00146058">
            <w:pPr>
              <w:autoSpaceDE w:val="0"/>
              <w:autoSpaceDN w:val="0"/>
              <w:adjustRightInd w:val="0"/>
              <w:spacing w:before="120" w:after="120"/>
              <w:rPr>
                <w:sz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46058" w:rsidRPr="000937FD" w14:paraId="5D9F16CF" w14:textId="77777777" w:rsidTr="00146058">
        <w:tc>
          <w:tcPr>
            <w:tcW w:w="2922" w:type="dxa"/>
          </w:tcPr>
          <w:p w14:paraId="70F4C67F" w14:textId="77777777" w:rsidR="00146058" w:rsidRPr="00DD07D7" w:rsidRDefault="00146058" w:rsidP="00146058">
            <w:pPr>
              <w:rPr>
                <w:b/>
                <w:sz w:val="20"/>
                <w:szCs w:val="20"/>
              </w:rPr>
            </w:pPr>
            <w:r w:rsidRPr="00DD07D7">
              <w:rPr>
                <w:b/>
                <w:sz w:val="20"/>
                <w:szCs w:val="20"/>
              </w:rPr>
              <w:t>Facilitate the handling of information relating to the exercise of investor’s rights arising from their investment in the AIF</w:t>
            </w:r>
          </w:p>
        </w:tc>
        <w:tc>
          <w:tcPr>
            <w:tcW w:w="3662" w:type="dxa"/>
          </w:tcPr>
          <w:p w14:paraId="796FEDA5" w14:textId="70ECC7FB" w:rsidR="00146058" w:rsidRPr="00DD07D7" w:rsidRDefault="00146058" w:rsidP="00146058">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432" w:type="dxa"/>
          </w:tcPr>
          <w:p w14:paraId="55FCC85A" w14:textId="0212088B" w:rsidR="00146058" w:rsidRPr="000937FD" w:rsidRDefault="00146058" w:rsidP="00146058">
            <w:pPr>
              <w:autoSpaceDE w:val="0"/>
              <w:autoSpaceDN w:val="0"/>
              <w:adjustRightInd w:val="0"/>
              <w:spacing w:before="120" w:after="120"/>
              <w:rPr>
                <w:sz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46058" w:rsidRPr="000937FD" w14:paraId="58BBCF19" w14:textId="77777777" w:rsidTr="00146058">
        <w:tc>
          <w:tcPr>
            <w:tcW w:w="2922" w:type="dxa"/>
          </w:tcPr>
          <w:p w14:paraId="3B3AF58A" w14:textId="77777777" w:rsidR="00146058" w:rsidRPr="00DD07D7" w:rsidRDefault="00146058" w:rsidP="00146058">
            <w:pPr>
              <w:rPr>
                <w:b/>
                <w:sz w:val="20"/>
                <w:szCs w:val="20"/>
              </w:rPr>
            </w:pPr>
            <w:r w:rsidRPr="00DD07D7">
              <w:rPr>
                <w:b/>
                <w:sz w:val="20"/>
                <w:szCs w:val="20"/>
              </w:rPr>
              <w:t>Make the information and documents required pursuant to Articles 22 and 23 of Directive 2011/61/EU available to investors for the purposes of inspection and obtaining copies thereof</w:t>
            </w:r>
          </w:p>
        </w:tc>
        <w:tc>
          <w:tcPr>
            <w:tcW w:w="3662" w:type="dxa"/>
          </w:tcPr>
          <w:p w14:paraId="5FEA9003" w14:textId="46C0CB63" w:rsidR="00146058" w:rsidRPr="00DD07D7" w:rsidRDefault="00146058" w:rsidP="00146058">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432" w:type="dxa"/>
          </w:tcPr>
          <w:p w14:paraId="44A3BDF9" w14:textId="08DE5B85" w:rsidR="00146058" w:rsidRPr="000937FD" w:rsidRDefault="00146058" w:rsidP="00146058">
            <w:pPr>
              <w:autoSpaceDE w:val="0"/>
              <w:autoSpaceDN w:val="0"/>
              <w:adjustRightInd w:val="0"/>
              <w:spacing w:before="120" w:after="120"/>
              <w:rPr>
                <w:sz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46058" w:rsidRPr="000937FD" w14:paraId="60004714" w14:textId="77777777" w:rsidTr="00146058">
        <w:tc>
          <w:tcPr>
            <w:tcW w:w="2922" w:type="dxa"/>
          </w:tcPr>
          <w:p w14:paraId="3804E386" w14:textId="77777777" w:rsidR="00146058" w:rsidRPr="00DD07D7" w:rsidRDefault="00146058" w:rsidP="00146058">
            <w:pPr>
              <w:rPr>
                <w:b/>
                <w:sz w:val="20"/>
                <w:szCs w:val="20"/>
              </w:rPr>
            </w:pPr>
            <w:r w:rsidRPr="00DD07D7">
              <w:rPr>
                <w:b/>
                <w:sz w:val="20"/>
                <w:szCs w:val="20"/>
              </w:rPr>
              <w:t>Provide investors with information relevant to the tasks that the facilities perform in a durable medium as defined in point (m) of Article 2(1) of Directive 2009/65/EC</w:t>
            </w:r>
          </w:p>
        </w:tc>
        <w:tc>
          <w:tcPr>
            <w:tcW w:w="3662" w:type="dxa"/>
          </w:tcPr>
          <w:p w14:paraId="2E9965AC" w14:textId="6D4781AF" w:rsidR="00146058" w:rsidRPr="00DD07D7" w:rsidRDefault="00146058" w:rsidP="00146058">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432" w:type="dxa"/>
          </w:tcPr>
          <w:p w14:paraId="4DDE30BB" w14:textId="5569B870" w:rsidR="00146058" w:rsidRPr="000937FD" w:rsidRDefault="00146058" w:rsidP="00146058">
            <w:pPr>
              <w:autoSpaceDE w:val="0"/>
              <w:autoSpaceDN w:val="0"/>
              <w:adjustRightInd w:val="0"/>
              <w:spacing w:before="120" w:after="120"/>
              <w:rPr>
                <w:sz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05B3BF9B" w14:textId="77777777" w:rsidR="007E3A0C" w:rsidRPr="000937FD" w:rsidRDefault="007E3A0C" w:rsidP="007E3A0C">
      <w:pPr>
        <w:autoSpaceDE w:val="0"/>
        <w:autoSpaceDN w:val="0"/>
        <w:adjustRightInd w:val="0"/>
        <w:rPr>
          <w:sz w:val="20"/>
        </w:rPr>
      </w:pPr>
    </w:p>
    <w:p w14:paraId="3BA2A1B0" w14:textId="481AF83B" w:rsidR="007E3A0C" w:rsidRDefault="007E3A0C">
      <w:pPr>
        <w:rPr>
          <w:rFonts w:ascii="Times New Roman" w:hAnsi="Times New Roman"/>
          <w:sz w:val="24"/>
        </w:rPr>
        <w:sectPr w:rsidR="007E3A0C" w:rsidSect="00054C4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6921BA5F" w14:textId="77777777" w:rsidR="00F66FBB" w:rsidRDefault="003A1FB2">
      <w:pPr>
        <w:rPr>
          <w:rFonts w:ascii="Times New Roman" w:hAnsi="Times New Roman"/>
          <w:b/>
          <w:sz w:val="28"/>
          <w:szCs w:val="28"/>
        </w:rPr>
      </w:pPr>
      <w:r>
        <w:rPr>
          <w:rFonts w:ascii="Times New Roman" w:hAnsi="Times New Roman"/>
          <w:b/>
          <w:sz w:val="28"/>
          <w:szCs w:val="28"/>
        </w:rPr>
        <w:lastRenderedPageBreak/>
        <w:t>A</w:t>
      </w:r>
      <w:r w:rsidRPr="0027617D">
        <w:rPr>
          <w:rFonts w:ascii="Times New Roman" w:hAnsi="Times New Roman"/>
          <w:b/>
          <w:sz w:val="28"/>
          <w:szCs w:val="28"/>
        </w:rPr>
        <w:t>nnex 1 - AIF Details</w:t>
      </w:r>
    </w:p>
    <w:p w14:paraId="4DF7BBC2" w14:textId="77777777" w:rsidR="00F66FBB" w:rsidRDefault="000A3E9B">
      <w:pPr>
        <w:rPr>
          <w:rFonts w:ascii="Times New Roman" w:hAnsi="Times New Roman"/>
          <w:b/>
          <w:sz w:val="28"/>
          <w:szCs w:val="28"/>
        </w:rPr>
      </w:pPr>
    </w:p>
    <w:p w14:paraId="33EAD4DF" w14:textId="77777777" w:rsidR="00F66FBB" w:rsidRDefault="000A3E9B">
      <w:pPr>
        <w:rPr>
          <w:rFonts w:ascii="Times New Roman" w:hAnsi="Times New Roman"/>
          <w:b/>
          <w:sz w:val="28"/>
          <w:szCs w:val="28"/>
        </w:rPr>
      </w:pPr>
    </w:p>
    <w:tbl>
      <w:tblPr>
        <w:tblStyle w:val="TableGrid"/>
        <w:tblW w:w="0" w:type="auto"/>
        <w:tblLook w:val="04A0" w:firstRow="1" w:lastRow="0" w:firstColumn="1" w:lastColumn="0" w:noHBand="0" w:noVBand="1"/>
      </w:tblPr>
      <w:tblGrid>
        <w:gridCol w:w="1911"/>
        <w:gridCol w:w="2764"/>
        <w:gridCol w:w="1086"/>
        <w:gridCol w:w="1236"/>
        <w:gridCol w:w="1253"/>
        <w:gridCol w:w="1310"/>
        <w:gridCol w:w="1270"/>
        <w:gridCol w:w="1513"/>
        <w:gridCol w:w="1605"/>
      </w:tblGrid>
      <w:tr w:rsidR="00E45BFA" w14:paraId="1CBED7C1" w14:textId="77777777" w:rsidTr="00BA0A5F">
        <w:tc>
          <w:tcPr>
            <w:tcW w:w="1911" w:type="dxa"/>
          </w:tcPr>
          <w:p w14:paraId="52F54F38" w14:textId="77777777" w:rsidR="00E45BFA" w:rsidRPr="001647D3" w:rsidRDefault="00E45BFA" w:rsidP="00E45BFA">
            <w:pPr>
              <w:rPr>
                <w:rFonts w:ascii="Times New Roman" w:hAnsi="Times New Roman"/>
                <w:b/>
                <w:sz w:val="24"/>
              </w:rPr>
            </w:pPr>
            <w:r w:rsidRPr="001647D3">
              <w:rPr>
                <w:b/>
                <w:sz w:val="20"/>
                <w:szCs w:val="20"/>
              </w:rPr>
              <w:t>Name of the AIF(s) or sub-fund(s)/ compartment(s) to be marketed in the host Member State</w:t>
            </w:r>
            <w:r w:rsidRPr="001647D3">
              <w:rPr>
                <w:rStyle w:val="FootnoteReference"/>
                <w:b/>
                <w:sz w:val="20"/>
                <w:szCs w:val="20"/>
              </w:rPr>
              <w:footnoteReference w:id="1"/>
            </w:r>
          </w:p>
        </w:tc>
        <w:tc>
          <w:tcPr>
            <w:tcW w:w="2764" w:type="dxa"/>
          </w:tcPr>
          <w:p w14:paraId="66D7BB1E" w14:textId="3F646D6C" w:rsidR="00E45BFA" w:rsidRPr="001647D3" w:rsidRDefault="00E45BFA" w:rsidP="00E45BFA">
            <w:pPr>
              <w:rPr>
                <w:b/>
                <w:sz w:val="20"/>
                <w:szCs w:val="20"/>
              </w:rPr>
            </w:pPr>
            <w:r>
              <w:rPr>
                <w:b/>
                <w:sz w:val="20"/>
                <w:szCs w:val="20"/>
              </w:rPr>
              <w:t>LEI of the AIF(s) or sub-fund(s)/compartment(s) to be marketed in the host Member State</w:t>
            </w:r>
          </w:p>
        </w:tc>
        <w:tc>
          <w:tcPr>
            <w:tcW w:w="1086" w:type="dxa"/>
          </w:tcPr>
          <w:p w14:paraId="61C5C12F" w14:textId="77655140" w:rsidR="00E45BFA" w:rsidRDefault="00E45BFA" w:rsidP="00E45BFA">
            <w:pPr>
              <w:rPr>
                <w:rFonts w:ascii="Times New Roman" w:hAnsi="Times New Roman"/>
                <w:b/>
                <w:sz w:val="24"/>
              </w:rPr>
            </w:pPr>
            <w:r w:rsidRPr="001647D3">
              <w:rPr>
                <w:b/>
                <w:sz w:val="20"/>
                <w:szCs w:val="20"/>
              </w:rPr>
              <w:t>AIF home Member State</w:t>
            </w:r>
          </w:p>
        </w:tc>
        <w:tc>
          <w:tcPr>
            <w:tcW w:w="1236" w:type="dxa"/>
          </w:tcPr>
          <w:p w14:paraId="27ECF9E0" w14:textId="2D744D49" w:rsidR="00E45BFA" w:rsidRPr="001647D3" w:rsidRDefault="00E45BFA" w:rsidP="00E45BFA">
            <w:pPr>
              <w:rPr>
                <w:rFonts w:ascii="Times New Roman" w:hAnsi="Times New Roman"/>
                <w:b/>
                <w:sz w:val="24"/>
              </w:rPr>
            </w:pPr>
            <w:r>
              <w:rPr>
                <w:rFonts w:ascii="Times New Roman" w:hAnsi="Times New Roman"/>
                <w:b/>
                <w:sz w:val="24"/>
              </w:rPr>
              <w:t>Name of share class(es) to be marketed in the host Member State (1)</w:t>
            </w:r>
          </w:p>
        </w:tc>
        <w:tc>
          <w:tcPr>
            <w:tcW w:w="1253" w:type="dxa"/>
          </w:tcPr>
          <w:p w14:paraId="493ADABE" w14:textId="1A3B8D0E" w:rsidR="00E45BFA" w:rsidRPr="001647D3" w:rsidRDefault="00E45BFA" w:rsidP="00E45BFA">
            <w:pPr>
              <w:rPr>
                <w:rFonts w:ascii="Times New Roman" w:hAnsi="Times New Roman"/>
                <w:b/>
                <w:sz w:val="24"/>
              </w:rPr>
            </w:pPr>
            <w:r>
              <w:rPr>
                <w:rFonts w:ascii="Times New Roman" w:hAnsi="Times New Roman"/>
                <w:b/>
                <w:sz w:val="24"/>
              </w:rPr>
              <w:t>ISIN of the share class(es) to be marketed in the host Member State (1)</w:t>
            </w:r>
          </w:p>
        </w:tc>
        <w:tc>
          <w:tcPr>
            <w:tcW w:w="1310" w:type="dxa"/>
          </w:tcPr>
          <w:p w14:paraId="71E69917" w14:textId="3A9B7C51" w:rsidR="00E45BFA" w:rsidRPr="001647D3" w:rsidRDefault="00E45BFA" w:rsidP="00E45BFA">
            <w:pPr>
              <w:rPr>
                <w:rFonts w:ascii="Times New Roman" w:hAnsi="Times New Roman"/>
                <w:b/>
                <w:sz w:val="24"/>
              </w:rPr>
            </w:pPr>
            <w:r w:rsidRPr="001647D3">
              <w:rPr>
                <w:b/>
                <w:sz w:val="20"/>
                <w:szCs w:val="20"/>
              </w:rPr>
              <w:t>Name and address of the depositary of the AIF</w:t>
            </w:r>
          </w:p>
        </w:tc>
        <w:tc>
          <w:tcPr>
            <w:tcW w:w="1270" w:type="dxa"/>
          </w:tcPr>
          <w:p w14:paraId="368C010A" w14:textId="03899688" w:rsidR="00E45BFA" w:rsidRPr="001647D3" w:rsidRDefault="00E45BFA" w:rsidP="00E45BFA">
            <w:pPr>
              <w:jc w:val="center"/>
              <w:rPr>
                <w:rFonts w:ascii="Times New Roman" w:hAnsi="Times New Roman"/>
                <w:b/>
                <w:sz w:val="24"/>
              </w:rPr>
            </w:pPr>
            <w:r>
              <w:rPr>
                <w:rFonts w:ascii="Times New Roman" w:hAnsi="Times New Roman"/>
                <w:b/>
                <w:sz w:val="24"/>
              </w:rPr>
              <w:t>Duration (2)</w:t>
            </w:r>
          </w:p>
        </w:tc>
        <w:tc>
          <w:tcPr>
            <w:tcW w:w="1513" w:type="dxa"/>
          </w:tcPr>
          <w:p w14:paraId="3410B5E0" w14:textId="0399863F" w:rsidR="00E45BFA" w:rsidRPr="001647D3" w:rsidRDefault="00E45BFA" w:rsidP="00E45BFA">
            <w:pPr>
              <w:rPr>
                <w:rFonts w:ascii="Times New Roman" w:hAnsi="Times New Roman"/>
                <w:b/>
                <w:sz w:val="24"/>
              </w:rPr>
            </w:pPr>
            <w:r w:rsidRPr="001647D3">
              <w:rPr>
                <w:b/>
                <w:sz w:val="20"/>
                <w:szCs w:val="20"/>
              </w:rPr>
              <w:t>Legal form (common fund, unit trust, investment company, partnership, other (please specify))</w:t>
            </w:r>
          </w:p>
        </w:tc>
        <w:tc>
          <w:tcPr>
            <w:tcW w:w="1605" w:type="dxa"/>
          </w:tcPr>
          <w:p w14:paraId="001E12AB" w14:textId="10658EB6" w:rsidR="00E45BFA" w:rsidRPr="001647D3" w:rsidRDefault="00E45BFA" w:rsidP="00E45BFA">
            <w:pPr>
              <w:rPr>
                <w:rFonts w:ascii="Times New Roman" w:hAnsi="Times New Roman"/>
                <w:b/>
                <w:sz w:val="24"/>
              </w:rPr>
            </w:pPr>
            <w:r>
              <w:rPr>
                <w:rFonts w:ascii="Times New Roman" w:hAnsi="Times New Roman"/>
                <w:b/>
                <w:sz w:val="24"/>
              </w:rPr>
              <w:t>AIF national identification code</w:t>
            </w:r>
          </w:p>
        </w:tc>
      </w:tr>
      <w:tr w:rsidR="00BA0A5F" w14:paraId="01805314" w14:textId="77777777" w:rsidTr="00BA0A5F">
        <w:tc>
          <w:tcPr>
            <w:tcW w:w="1911" w:type="dxa"/>
          </w:tcPr>
          <w:p w14:paraId="6067D257" w14:textId="6FD77D98"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2764" w:type="dxa"/>
          </w:tcPr>
          <w:p w14:paraId="11DC36F3" w14:textId="7BD2D217"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6" w:type="dxa"/>
          </w:tcPr>
          <w:p w14:paraId="2AFFDD48" w14:textId="201B446B"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36" w:type="dxa"/>
          </w:tcPr>
          <w:p w14:paraId="09FD49EC" w14:textId="7A9115D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53" w:type="dxa"/>
          </w:tcPr>
          <w:p w14:paraId="55098EF1"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10" w:type="dxa"/>
          </w:tcPr>
          <w:p w14:paraId="6ABD93D5"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70" w:type="dxa"/>
          </w:tcPr>
          <w:p w14:paraId="05DD3BE2"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13" w:type="dxa"/>
          </w:tcPr>
          <w:p w14:paraId="134EF6FD"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5" w:type="dxa"/>
          </w:tcPr>
          <w:p w14:paraId="57660FFD"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A0A5F" w14:paraId="703ED5D6" w14:textId="77777777" w:rsidTr="00BA0A5F">
        <w:tc>
          <w:tcPr>
            <w:tcW w:w="1911" w:type="dxa"/>
          </w:tcPr>
          <w:p w14:paraId="32FFC48A"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64" w:type="dxa"/>
          </w:tcPr>
          <w:p w14:paraId="2AF9A271" w14:textId="61D2B7C3"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6" w:type="dxa"/>
          </w:tcPr>
          <w:p w14:paraId="7DAA6B1A" w14:textId="511C9151"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36" w:type="dxa"/>
          </w:tcPr>
          <w:p w14:paraId="1923A44C" w14:textId="34D8D685"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53" w:type="dxa"/>
          </w:tcPr>
          <w:p w14:paraId="0762C580"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10" w:type="dxa"/>
          </w:tcPr>
          <w:p w14:paraId="733F7F13"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70" w:type="dxa"/>
          </w:tcPr>
          <w:p w14:paraId="65FAED9B"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13" w:type="dxa"/>
          </w:tcPr>
          <w:p w14:paraId="667A328A"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5" w:type="dxa"/>
          </w:tcPr>
          <w:p w14:paraId="78F1D329"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A0A5F" w14:paraId="22C056F2" w14:textId="77777777" w:rsidTr="00BA0A5F">
        <w:tc>
          <w:tcPr>
            <w:tcW w:w="1911" w:type="dxa"/>
          </w:tcPr>
          <w:p w14:paraId="359E5C04"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64" w:type="dxa"/>
          </w:tcPr>
          <w:p w14:paraId="45CFBE97" w14:textId="6BE093F8"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6" w:type="dxa"/>
          </w:tcPr>
          <w:p w14:paraId="445017D3" w14:textId="4FFF9F1A"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36" w:type="dxa"/>
          </w:tcPr>
          <w:p w14:paraId="173CE73D" w14:textId="0DDBCCE5"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53" w:type="dxa"/>
          </w:tcPr>
          <w:p w14:paraId="167FC436"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10" w:type="dxa"/>
          </w:tcPr>
          <w:p w14:paraId="3E97162C"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70" w:type="dxa"/>
          </w:tcPr>
          <w:p w14:paraId="453A658F"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13" w:type="dxa"/>
          </w:tcPr>
          <w:p w14:paraId="6C56F50A"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5" w:type="dxa"/>
          </w:tcPr>
          <w:p w14:paraId="5F037585"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A0A5F" w14:paraId="505FB161" w14:textId="77777777" w:rsidTr="00BA0A5F">
        <w:tc>
          <w:tcPr>
            <w:tcW w:w="1911" w:type="dxa"/>
          </w:tcPr>
          <w:p w14:paraId="47D43D68"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64" w:type="dxa"/>
          </w:tcPr>
          <w:p w14:paraId="2E326B32" w14:textId="21999306"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6" w:type="dxa"/>
          </w:tcPr>
          <w:p w14:paraId="02FCA30B" w14:textId="1C8777A6"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36" w:type="dxa"/>
          </w:tcPr>
          <w:p w14:paraId="3444A12A" w14:textId="4FAEE10E"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53" w:type="dxa"/>
          </w:tcPr>
          <w:p w14:paraId="47E78EB1"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10" w:type="dxa"/>
          </w:tcPr>
          <w:p w14:paraId="1959EC41"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70" w:type="dxa"/>
          </w:tcPr>
          <w:p w14:paraId="29C925D3"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13" w:type="dxa"/>
          </w:tcPr>
          <w:p w14:paraId="24BCC993"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5" w:type="dxa"/>
          </w:tcPr>
          <w:p w14:paraId="798DCF89"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A0A5F" w14:paraId="7711801A" w14:textId="77777777" w:rsidTr="00BA0A5F">
        <w:tc>
          <w:tcPr>
            <w:tcW w:w="1911" w:type="dxa"/>
          </w:tcPr>
          <w:p w14:paraId="0224C4C3"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64" w:type="dxa"/>
          </w:tcPr>
          <w:p w14:paraId="4A9A2D16" w14:textId="1BA9FF76"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6" w:type="dxa"/>
          </w:tcPr>
          <w:p w14:paraId="07A081C5" w14:textId="1405CE8F"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36" w:type="dxa"/>
          </w:tcPr>
          <w:p w14:paraId="579D1D3E" w14:textId="31077F04"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53" w:type="dxa"/>
          </w:tcPr>
          <w:p w14:paraId="4177BA67"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10" w:type="dxa"/>
          </w:tcPr>
          <w:p w14:paraId="2936DAF6"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70" w:type="dxa"/>
          </w:tcPr>
          <w:p w14:paraId="387AC52B"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13" w:type="dxa"/>
          </w:tcPr>
          <w:p w14:paraId="58EAC621"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5" w:type="dxa"/>
          </w:tcPr>
          <w:p w14:paraId="41BFD314"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A0A5F" w14:paraId="2115E09F" w14:textId="77777777" w:rsidTr="00BA0A5F">
        <w:tc>
          <w:tcPr>
            <w:tcW w:w="1911" w:type="dxa"/>
          </w:tcPr>
          <w:p w14:paraId="756C5D7A"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64" w:type="dxa"/>
          </w:tcPr>
          <w:p w14:paraId="4F137FF2" w14:textId="63BA00C5"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6" w:type="dxa"/>
          </w:tcPr>
          <w:p w14:paraId="76EA0F03" w14:textId="3DD200B7"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36" w:type="dxa"/>
          </w:tcPr>
          <w:p w14:paraId="594B1139" w14:textId="339F075B"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53" w:type="dxa"/>
          </w:tcPr>
          <w:p w14:paraId="2FE093F2"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10" w:type="dxa"/>
          </w:tcPr>
          <w:p w14:paraId="55987564"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70" w:type="dxa"/>
          </w:tcPr>
          <w:p w14:paraId="54DC6C4C"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13" w:type="dxa"/>
          </w:tcPr>
          <w:p w14:paraId="273379D3"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5" w:type="dxa"/>
          </w:tcPr>
          <w:p w14:paraId="7CD561CD"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A0A5F" w14:paraId="66B6C4C5" w14:textId="77777777" w:rsidTr="00BA0A5F">
        <w:tc>
          <w:tcPr>
            <w:tcW w:w="1911" w:type="dxa"/>
          </w:tcPr>
          <w:p w14:paraId="5F570402"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64" w:type="dxa"/>
          </w:tcPr>
          <w:p w14:paraId="04BCA2A1" w14:textId="71BC7A87"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086" w:type="dxa"/>
          </w:tcPr>
          <w:p w14:paraId="4A24DA26" w14:textId="3C72523C" w:rsidR="00BA0A5F" w:rsidRDefault="00BA0A5F" w:rsidP="00BA0A5F">
            <w:pPr>
              <w:rPr>
                <w:rFonts w:ascii="Arial" w:hAnsi="Arial"/>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36" w:type="dxa"/>
          </w:tcPr>
          <w:p w14:paraId="2841AF2C" w14:textId="0C4EE7F2"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53" w:type="dxa"/>
          </w:tcPr>
          <w:p w14:paraId="7AE9FAC8"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10" w:type="dxa"/>
          </w:tcPr>
          <w:p w14:paraId="7D46B5A7"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270" w:type="dxa"/>
          </w:tcPr>
          <w:p w14:paraId="1CB3B032"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13" w:type="dxa"/>
          </w:tcPr>
          <w:p w14:paraId="347B30A0"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05" w:type="dxa"/>
          </w:tcPr>
          <w:p w14:paraId="75054862" w14:textId="77777777" w:rsidR="00BA0A5F" w:rsidRDefault="00BA0A5F" w:rsidP="00BA0A5F">
            <w:pPr>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1C2B7087" w14:textId="77777777" w:rsidR="00F66FBB" w:rsidRDefault="000A3E9B">
      <w:pPr>
        <w:rPr>
          <w:rFonts w:ascii="Times New Roman" w:hAnsi="Times New Roman"/>
          <w:sz w:val="24"/>
        </w:rPr>
      </w:pPr>
    </w:p>
    <w:p w14:paraId="38BA14A3" w14:textId="77777777" w:rsidR="00E45BFA" w:rsidRPr="00DD07D7" w:rsidRDefault="00E45BFA" w:rsidP="00E45BFA">
      <w:pPr>
        <w:rPr>
          <w:b/>
          <w:sz w:val="20"/>
          <w:szCs w:val="20"/>
        </w:rPr>
      </w:pPr>
      <w:r w:rsidRPr="00DD07D7">
        <w:rPr>
          <w:b/>
          <w:sz w:val="20"/>
          <w:szCs w:val="20"/>
        </w:rPr>
        <w:t>(1) If only certain share classes are intended to be marketed, only those classes should be listed</w:t>
      </w:r>
    </w:p>
    <w:p w14:paraId="55B68176" w14:textId="77777777" w:rsidR="00E45BFA" w:rsidRDefault="00E45BFA" w:rsidP="00E45BFA">
      <w:pPr>
        <w:rPr>
          <w:b/>
          <w:sz w:val="20"/>
          <w:szCs w:val="20"/>
        </w:rPr>
      </w:pPr>
      <w:r w:rsidRPr="00DD07D7">
        <w:rPr>
          <w:b/>
          <w:sz w:val="20"/>
          <w:szCs w:val="20"/>
        </w:rPr>
        <w:t>(2) If applicable</w:t>
      </w:r>
    </w:p>
    <w:p w14:paraId="55917A4F" w14:textId="4330C69A" w:rsidR="00E45BFA" w:rsidRDefault="00E45BFA" w:rsidP="00E45BFA">
      <w:pPr>
        <w:rPr>
          <w:b/>
          <w:sz w:val="20"/>
          <w:szCs w:val="20"/>
        </w:rPr>
      </w:pPr>
    </w:p>
    <w:p w14:paraId="413FD3C4" w14:textId="48ABED87" w:rsidR="00E45BFA" w:rsidRDefault="00E45BFA" w:rsidP="00E45BFA">
      <w:pPr>
        <w:rPr>
          <w:b/>
          <w:sz w:val="20"/>
          <w:szCs w:val="20"/>
        </w:rPr>
      </w:pPr>
    </w:p>
    <w:p w14:paraId="06C44065" w14:textId="660F6BC7" w:rsidR="00E45BFA" w:rsidRDefault="000A3E9B" w:rsidP="00E45BFA">
      <w:pPr>
        <w:rPr>
          <w:b/>
          <w:sz w:val="20"/>
          <w:szCs w:val="20"/>
        </w:rPr>
      </w:pPr>
      <w:r>
        <w:rPr>
          <w:b/>
          <w:sz w:val="20"/>
          <w:szCs w:val="20"/>
        </w:rPr>
        <w:t xml:space="preserve">For each, please specify the </w:t>
      </w:r>
      <w:r w:rsidR="00E45BFA" w:rsidRPr="001647D3">
        <w:rPr>
          <w:b/>
          <w:sz w:val="20"/>
          <w:szCs w:val="20"/>
        </w:rPr>
        <w:t xml:space="preserve">AIF’s investment strategy (please specify the predominant AIF and the breakdown by investment strategies as set out in the reporting template included in </w:t>
      </w:r>
      <w:r w:rsidR="00E45BFA">
        <w:rPr>
          <w:b/>
          <w:sz w:val="20"/>
          <w:szCs w:val="20"/>
        </w:rPr>
        <w:t xml:space="preserve">Annex 4 of </w:t>
      </w:r>
      <w:r w:rsidR="00E45BFA" w:rsidRPr="001647D3">
        <w:rPr>
          <w:b/>
          <w:sz w:val="20"/>
          <w:szCs w:val="20"/>
        </w:rPr>
        <w:t>Regulation 231/2013)</w:t>
      </w:r>
    </w:p>
    <w:p w14:paraId="44FFC6FE" w14:textId="77777777" w:rsidR="00E45BFA" w:rsidRDefault="00E45BFA" w:rsidP="00E45BFA">
      <w:pPr>
        <w:rPr>
          <w:b/>
          <w:sz w:val="20"/>
          <w:szCs w:val="20"/>
        </w:rPr>
      </w:pPr>
    </w:p>
    <w:p w14:paraId="1B4D87CF" w14:textId="085FC40E" w:rsidR="00E45BFA" w:rsidRDefault="00E45BFA" w:rsidP="00E45B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u w:val="single"/>
        </w:rPr>
      </w:pPr>
      <w:r w:rsidRPr="00947022">
        <w:rPr>
          <w:sz w:val="20"/>
          <w:u w:val="single"/>
        </w:rPr>
        <w:fldChar w:fldCharType="begin">
          <w:ffData>
            <w:name w:val="Text2"/>
            <w:enabled/>
            <w:calcOnExit w:val="0"/>
            <w:textInput/>
          </w:ffData>
        </w:fldChar>
      </w:r>
      <w:r w:rsidRPr="00947022">
        <w:rPr>
          <w:sz w:val="20"/>
          <w:u w:val="single"/>
        </w:rPr>
        <w:instrText xml:space="preserve"> FORMTEXT </w:instrText>
      </w:r>
      <w:r w:rsidRPr="00947022">
        <w:rPr>
          <w:sz w:val="20"/>
          <w:u w:val="single"/>
        </w:rPr>
      </w:r>
      <w:r w:rsidRPr="00947022">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Pr="00947022">
        <w:rPr>
          <w:sz w:val="20"/>
          <w:u w:val="single"/>
        </w:rPr>
        <w:fldChar w:fldCharType="end"/>
      </w:r>
    </w:p>
    <w:p w14:paraId="5CF0F4DF" w14:textId="77777777" w:rsidR="00E45BFA" w:rsidRDefault="00E45BFA" w:rsidP="00E45BF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sz w:val="20"/>
        </w:rPr>
      </w:pPr>
    </w:p>
    <w:p w14:paraId="37D902CF" w14:textId="77777777" w:rsidR="00E45BFA" w:rsidRDefault="00E45BFA" w:rsidP="00E45BFA">
      <w:pPr>
        <w:rPr>
          <w:b/>
          <w:sz w:val="20"/>
          <w:szCs w:val="20"/>
        </w:rPr>
      </w:pPr>
    </w:p>
    <w:p w14:paraId="074A9851" w14:textId="2381DEC8" w:rsidR="00E45BFA" w:rsidRDefault="00E45BFA" w:rsidP="00E45BFA">
      <w:pPr>
        <w:rPr>
          <w:b/>
          <w:sz w:val="20"/>
          <w:szCs w:val="20"/>
        </w:rPr>
      </w:pPr>
    </w:p>
    <w:p w14:paraId="484C76B2" w14:textId="77777777" w:rsidR="00E45BFA" w:rsidRPr="00DD07D7" w:rsidRDefault="00E45BFA" w:rsidP="00E45BFA">
      <w:pPr>
        <w:rPr>
          <w:b/>
          <w:sz w:val="20"/>
          <w:szCs w:val="20"/>
        </w:rPr>
      </w:pPr>
    </w:p>
    <w:p w14:paraId="490E1EDC" w14:textId="0091BB1F" w:rsidR="00E45BFA" w:rsidRDefault="00E45BFA" w:rsidP="00E45BFA">
      <w:pPr>
        <w:rPr>
          <w:b/>
          <w:sz w:val="20"/>
          <w:szCs w:val="20"/>
        </w:rPr>
      </w:pPr>
      <w:r w:rsidRPr="00DD07D7">
        <w:rPr>
          <w:b/>
          <w:sz w:val="20"/>
          <w:szCs w:val="20"/>
        </w:rPr>
        <w:t>Master-feeder structures (if applicable):</w:t>
      </w:r>
    </w:p>
    <w:p w14:paraId="71C4444A" w14:textId="77777777" w:rsidR="00BA0A5F" w:rsidRPr="00DD07D7" w:rsidRDefault="00BA0A5F" w:rsidP="00E45BFA">
      <w:pPr>
        <w:rPr>
          <w:b/>
          <w:sz w:val="20"/>
          <w:szCs w:val="20"/>
        </w:rPr>
      </w:pPr>
    </w:p>
    <w:tbl>
      <w:tblPr>
        <w:tblStyle w:val="TableGrid"/>
        <w:tblW w:w="0" w:type="auto"/>
        <w:tblLook w:val="04A0" w:firstRow="1" w:lastRow="0" w:firstColumn="1" w:lastColumn="0" w:noHBand="0" w:noVBand="1"/>
      </w:tblPr>
      <w:tblGrid>
        <w:gridCol w:w="3714"/>
        <w:gridCol w:w="3454"/>
        <w:gridCol w:w="3079"/>
        <w:gridCol w:w="3079"/>
      </w:tblGrid>
      <w:tr w:rsidR="00E45BFA" w:rsidRPr="00DD07D7" w14:paraId="74023123" w14:textId="77777777" w:rsidTr="00BA0A5F">
        <w:trPr>
          <w:trHeight w:val="1375"/>
        </w:trPr>
        <w:tc>
          <w:tcPr>
            <w:tcW w:w="3714" w:type="dxa"/>
          </w:tcPr>
          <w:p w14:paraId="3DC2C8EC" w14:textId="77777777" w:rsidR="00E45BFA" w:rsidRPr="00DD07D7" w:rsidRDefault="00E45BFA" w:rsidP="001A5E60">
            <w:pPr>
              <w:rPr>
                <w:b/>
                <w:sz w:val="20"/>
                <w:szCs w:val="20"/>
              </w:rPr>
            </w:pPr>
            <w:r w:rsidRPr="00DD07D7">
              <w:rPr>
                <w:b/>
                <w:sz w:val="20"/>
                <w:szCs w:val="20"/>
              </w:rPr>
              <w:t>Name of the master AIF or compartment(s)</w:t>
            </w:r>
          </w:p>
        </w:tc>
        <w:tc>
          <w:tcPr>
            <w:tcW w:w="3454" w:type="dxa"/>
          </w:tcPr>
          <w:p w14:paraId="74A2C7E5" w14:textId="77777777" w:rsidR="00E45BFA" w:rsidRPr="00DD07D7" w:rsidRDefault="00E45BFA" w:rsidP="001A5E60">
            <w:pPr>
              <w:rPr>
                <w:b/>
                <w:sz w:val="20"/>
                <w:szCs w:val="20"/>
              </w:rPr>
            </w:pPr>
            <w:r w:rsidRPr="00DD07D7">
              <w:rPr>
                <w:b/>
                <w:sz w:val="20"/>
                <w:szCs w:val="20"/>
              </w:rPr>
              <w:t>AIFM of the master AIF/or compartment (if different)</w:t>
            </w:r>
          </w:p>
        </w:tc>
        <w:tc>
          <w:tcPr>
            <w:tcW w:w="3079" w:type="dxa"/>
          </w:tcPr>
          <w:p w14:paraId="23DB84F1" w14:textId="77777777" w:rsidR="00E45BFA" w:rsidRPr="00DD07D7" w:rsidRDefault="00E45BFA" w:rsidP="001A5E60">
            <w:pPr>
              <w:rPr>
                <w:b/>
                <w:sz w:val="20"/>
                <w:szCs w:val="20"/>
              </w:rPr>
            </w:pPr>
            <w:r w:rsidRPr="00DD07D7">
              <w:rPr>
                <w:b/>
                <w:sz w:val="20"/>
                <w:szCs w:val="20"/>
              </w:rPr>
              <w:t>Home Member State of the master AIF (if different)</w:t>
            </w:r>
          </w:p>
        </w:tc>
        <w:tc>
          <w:tcPr>
            <w:tcW w:w="3079" w:type="dxa"/>
          </w:tcPr>
          <w:p w14:paraId="3787E8FE" w14:textId="77777777" w:rsidR="00E45BFA" w:rsidRPr="00DD07D7" w:rsidRDefault="00E45BFA" w:rsidP="001A5E60">
            <w:pPr>
              <w:rPr>
                <w:b/>
                <w:sz w:val="20"/>
                <w:szCs w:val="20"/>
              </w:rPr>
            </w:pPr>
            <w:r w:rsidRPr="00DD07D7">
              <w:rPr>
                <w:b/>
                <w:sz w:val="20"/>
                <w:szCs w:val="20"/>
              </w:rPr>
              <w:t>Home Member State of the AIFM (if different)</w:t>
            </w:r>
          </w:p>
        </w:tc>
      </w:tr>
      <w:tr w:rsidR="00E45BFA" w:rsidRPr="00DD07D7" w14:paraId="23029046" w14:textId="77777777" w:rsidTr="00BA0A5F">
        <w:trPr>
          <w:trHeight w:val="377"/>
        </w:trPr>
        <w:tc>
          <w:tcPr>
            <w:tcW w:w="3714" w:type="dxa"/>
          </w:tcPr>
          <w:p w14:paraId="1323F5E4"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454" w:type="dxa"/>
          </w:tcPr>
          <w:p w14:paraId="659CEE23"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9" w:type="dxa"/>
          </w:tcPr>
          <w:p w14:paraId="5068AB67"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9" w:type="dxa"/>
          </w:tcPr>
          <w:p w14:paraId="5A845D77"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E45BFA" w:rsidRPr="00DD07D7" w14:paraId="1E14C09A" w14:textId="77777777" w:rsidTr="00BA0A5F">
        <w:trPr>
          <w:trHeight w:val="377"/>
        </w:trPr>
        <w:tc>
          <w:tcPr>
            <w:tcW w:w="3714" w:type="dxa"/>
          </w:tcPr>
          <w:p w14:paraId="34659271"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454" w:type="dxa"/>
          </w:tcPr>
          <w:p w14:paraId="37AFB7B1"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9" w:type="dxa"/>
          </w:tcPr>
          <w:p w14:paraId="6B26D571"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9" w:type="dxa"/>
          </w:tcPr>
          <w:p w14:paraId="4BD74F94"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E45BFA" w:rsidRPr="00DD07D7" w14:paraId="3FE57304" w14:textId="77777777" w:rsidTr="00BA0A5F">
        <w:trPr>
          <w:trHeight w:val="393"/>
        </w:trPr>
        <w:tc>
          <w:tcPr>
            <w:tcW w:w="3714" w:type="dxa"/>
          </w:tcPr>
          <w:p w14:paraId="1D2D93A3"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454" w:type="dxa"/>
          </w:tcPr>
          <w:p w14:paraId="788596D3"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9" w:type="dxa"/>
          </w:tcPr>
          <w:p w14:paraId="37F808DA"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9" w:type="dxa"/>
          </w:tcPr>
          <w:p w14:paraId="417851C3"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E45BFA" w:rsidRPr="00DD07D7" w14:paraId="3958C5E7" w14:textId="77777777" w:rsidTr="00BA0A5F">
        <w:trPr>
          <w:trHeight w:val="377"/>
        </w:trPr>
        <w:tc>
          <w:tcPr>
            <w:tcW w:w="3714" w:type="dxa"/>
          </w:tcPr>
          <w:p w14:paraId="607A3DBD"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454" w:type="dxa"/>
          </w:tcPr>
          <w:p w14:paraId="4C9F5AF8"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9" w:type="dxa"/>
          </w:tcPr>
          <w:p w14:paraId="1871B7BC"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9" w:type="dxa"/>
          </w:tcPr>
          <w:p w14:paraId="5DA26064"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E45BFA" w:rsidRPr="00DD07D7" w14:paraId="3A61112B" w14:textId="77777777" w:rsidTr="00BA0A5F">
        <w:trPr>
          <w:trHeight w:val="377"/>
        </w:trPr>
        <w:tc>
          <w:tcPr>
            <w:tcW w:w="3714" w:type="dxa"/>
          </w:tcPr>
          <w:p w14:paraId="1DAD0623"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454" w:type="dxa"/>
          </w:tcPr>
          <w:p w14:paraId="11D130AE"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9" w:type="dxa"/>
          </w:tcPr>
          <w:p w14:paraId="21452D06"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9" w:type="dxa"/>
          </w:tcPr>
          <w:p w14:paraId="75DD004A"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E45BFA" w:rsidRPr="00DD07D7" w14:paraId="259AB6A3" w14:textId="77777777" w:rsidTr="00BA0A5F">
        <w:trPr>
          <w:trHeight w:val="393"/>
        </w:trPr>
        <w:tc>
          <w:tcPr>
            <w:tcW w:w="3714" w:type="dxa"/>
          </w:tcPr>
          <w:p w14:paraId="38DC62E2"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454" w:type="dxa"/>
          </w:tcPr>
          <w:p w14:paraId="79CA3DC8"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9" w:type="dxa"/>
          </w:tcPr>
          <w:p w14:paraId="5EB11F02"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079" w:type="dxa"/>
          </w:tcPr>
          <w:p w14:paraId="4BFF8B95" w14:textId="77777777" w:rsidR="00E45BFA" w:rsidRPr="00DD07D7" w:rsidRDefault="00E45BFA" w:rsidP="001A5E60">
            <w:pPr>
              <w:rPr>
                <w:b/>
                <w:sz w:val="20"/>
                <w:szCs w:val="20"/>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3B5D4715" w14:textId="77777777" w:rsidR="00E45BFA" w:rsidRDefault="00E45BFA" w:rsidP="00E45BFA">
      <w:pPr>
        <w:spacing w:line="240" w:lineRule="atLeast"/>
        <w:jc w:val="both"/>
        <w:rPr>
          <w:rFonts w:ascii="Times New Roman" w:hAnsi="Times New Roman"/>
          <w:b/>
          <w:sz w:val="24"/>
        </w:rPr>
      </w:pPr>
    </w:p>
    <w:p w14:paraId="047CCF7E" w14:textId="77777777" w:rsidR="00E45BFA" w:rsidRDefault="00E45BFA" w:rsidP="00E45BFA">
      <w:pPr>
        <w:rPr>
          <w:rFonts w:ascii="Times New Roman" w:hAnsi="Times New Roman"/>
          <w:b/>
          <w:sz w:val="24"/>
        </w:rPr>
      </w:pPr>
      <w:r>
        <w:rPr>
          <w:rFonts w:ascii="Times New Roman" w:hAnsi="Times New Roman"/>
          <w:b/>
          <w:sz w:val="24"/>
        </w:rPr>
        <w:br w:type="page"/>
      </w:r>
    </w:p>
    <w:p w14:paraId="0CA7AC6F" w14:textId="48F2DAA3" w:rsidR="00E45BFA" w:rsidRPr="00E45BFA" w:rsidRDefault="00E45BFA" w:rsidP="00E45BFA">
      <w:pPr>
        <w:rPr>
          <w:rFonts w:ascii="Times New Roman" w:hAnsi="Times New Roman"/>
          <w:sz w:val="24"/>
        </w:rPr>
        <w:sectPr w:rsidR="00E45BFA" w:rsidRPr="00E45BFA" w:rsidSect="001647D3">
          <w:pgSz w:w="16838" w:h="11906" w:orient="landscape"/>
          <w:pgMar w:top="1440" w:right="1440" w:bottom="1440" w:left="1440" w:header="708" w:footer="708" w:gutter="0"/>
          <w:cols w:space="708"/>
          <w:docGrid w:linePitch="360"/>
        </w:sectPr>
      </w:pPr>
    </w:p>
    <w:p w14:paraId="178EE343" w14:textId="77777777" w:rsidR="00627392" w:rsidRDefault="003A1FB2" w:rsidP="00831B78">
      <w:pPr>
        <w:spacing w:line="276" w:lineRule="auto"/>
        <w:jc w:val="both"/>
        <w:rPr>
          <w:rFonts w:ascii="Times New Roman" w:hAnsi="Times New Roman"/>
          <w:b/>
          <w:sz w:val="28"/>
          <w:szCs w:val="28"/>
        </w:rPr>
      </w:pPr>
      <w:r>
        <w:rPr>
          <w:rFonts w:ascii="Times New Roman" w:hAnsi="Times New Roman"/>
          <w:b/>
          <w:sz w:val="28"/>
          <w:szCs w:val="28"/>
        </w:rPr>
        <w:lastRenderedPageBreak/>
        <w:t>Annex 2 – Cross-Reference to documents available to potential investors</w:t>
      </w:r>
    </w:p>
    <w:p w14:paraId="5FB13903" w14:textId="77777777" w:rsidR="001F376D" w:rsidRDefault="003A1FB2" w:rsidP="00831B78">
      <w:pPr>
        <w:spacing w:line="276" w:lineRule="auto"/>
        <w:jc w:val="both"/>
        <w:rPr>
          <w:rFonts w:ascii="Times New Roman" w:hAnsi="Times New Roman"/>
          <w:i/>
          <w:sz w:val="20"/>
          <w:szCs w:val="20"/>
        </w:rPr>
      </w:pPr>
      <w:r>
        <w:rPr>
          <w:rFonts w:ascii="Times New Roman" w:hAnsi="Times New Roman"/>
          <w:i/>
          <w:sz w:val="20"/>
          <w:szCs w:val="20"/>
        </w:rPr>
        <w:t xml:space="preserve">(Complete one form for each AIF or Sub-Fund of an AIF. References to AIFs should be interpreted to apply to sub-funds where applicable. </w:t>
      </w:r>
      <w:r w:rsidRPr="00C81F29">
        <w:rPr>
          <w:rFonts w:ascii="Times New Roman" w:hAnsi="Times New Roman"/>
          <w:i/>
          <w:sz w:val="20"/>
          <w:szCs w:val="20"/>
        </w:rPr>
        <w:t xml:space="preserve">Please indicate the page(s) containing the respective details </w:t>
      </w:r>
      <w:r>
        <w:rPr>
          <w:rFonts w:ascii="Times New Roman" w:hAnsi="Times New Roman"/>
          <w:i/>
          <w:sz w:val="20"/>
          <w:szCs w:val="20"/>
        </w:rPr>
        <w:t xml:space="preserve">as well as the Document where the said details are found </w:t>
      </w:r>
      <w:r w:rsidRPr="00C81F29">
        <w:rPr>
          <w:rFonts w:ascii="Times New Roman" w:hAnsi="Times New Roman"/>
          <w:i/>
          <w:sz w:val="20"/>
          <w:szCs w:val="20"/>
        </w:rPr>
        <w:t>in the box</w:t>
      </w:r>
      <w:r>
        <w:rPr>
          <w:rFonts w:ascii="Times New Roman" w:hAnsi="Times New Roman"/>
          <w:i/>
          <w:sz w:val="20"/>
          <w:szCs w:val="20"/>
        </w:rPr>
        <w:t>es</w:t>
      </w:r>
      <w:r w:rsidRPr="00C81F29">
        <w:rPr>
          <w:rFonts w:ascii="Times New Roman" w:hAnsi="Times New Roman"/>
          <w:i/>
          <w:sz w:val="20"/>
          <w:szCs w:val="20"/>
        </w:rPr>
        <w:t xml:space="preserve"> provided</w:t>
      </w:r>
      <w:r>
        <w:rPr>
          <w:rFonts w:ascii="Times New Roman" w:hAnsi="Times New Roman"/>
          <w:i/>
          <w:sz w:val="20"/>
          <w:szCs w:val="20"/>
        </w:rPr>
        <w:t>)</w:t>
      </w:r>
    </w:p>
    <w:p w14:paraId="2CE5005B" w14:textId="77777777" w:rsidR="001F376D" w:rsidRPr="002F6454" w:rsidRDefault="003A1FB2" w:rsidP="00831B78">
      <w:pPr>
        <w:spacing w:line="276" w:lineRule="auto"/>
        <w:jc w:val="both"/>
        <w:rPr>
          <w:rFonts w:ascii="Times New Roman" w:hAnsi="Times New Roman"/>
          <w:i/>
          <w:sz w:val="20"/>
          <w:szCs w:val="20"/>
        </w:rPr>
      </w:pPr>
      <w:r>
        <w:rPr>
          <w:rFonts w:ascii="Times New Roman" w:hAnsi="Times New Roman"/>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gridCol w:w="1559"/>
        <w:gridCol w:w="1701"/>
      </w:tblGrid>
      <w:tr w:rsidR="001F376D" w:rsidRPr="001F5275" w14:paraId="1A0FA0FE" w14:textId="77777777" w:rsidTr="001647D3">
        <w:tc>
          <w:tcPr>
            <w:tcW w:w="10598" w:type="dxa"/>
            <w:tcBorders>
              <w:top w:val="nil"/>
              <w:left w:val="nil"/>
              <w:bottom w:val="nil"/>
              <w:right w:val="nil"/>
            </w:tcBorders>
            <w:shd w:val="clear" w:color="auto" w:fill="auto"/>
          </w:tcPr>
          <w:p w14:paraId="684B7BD9" w14:textId="77777777" w:rsidR="001F376D" w:rsidRPr="001647D3" w:rsidRDefault="003A1FB2" w:rsidP="003F0955">
            <w:pPr>
              <w:spacing w:line="276" w:lineRule="auto"/>
              <w:jc w:val="both"/>
              <w:rPr>
                <w:rFonts w:ascii="Times New Roman" w:hAnsi="Times New Roman"/>
                <w:b/>
                <w:sz w:val="24"/>
              </w:rPr>
            </w:pPr>
            <w:r w:rsidRPr="001647D3">
              <w:rPr>
                <w:rFonts w:ascii="Times New Roman" w:hAnsi="Times New Roman"/>
                <w:b/>
                <w:sz w:val="24"/>
              </w:rPr>
              <w:t>AIF Name:</w:t>
            </w:r>
          </w:p>
        </w:tc>
        <w:tc>
          <w:tcPr>
            <w:tcW w:w="3260" w:type="dxa"/>
            <w:gridSpan w:val="2"/>
            <w:tcBorders>
              <w:top w:val="nil"/>
              <w:left w:val="nil"/>
              <w:bottom w:val="single" w:sz="4" w:space="0" w:color="auto"/>
              <w:right w:val="nil"/>
            </w:tcBorders>
            <w:shd w:val="clear" w:color="auto" w:fill="auto"/>
          </w:tcPr>
          <w:p w14:paraId="32DB170A" w14:textId="77777777" w:rsidR="001F376D" w:rsidRPr="001F5275" w:rsidRDefault="003A1FB2" w:rsidP="00230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2108988C" w14:textId="77777777" w:rsidTr="001647D3">
        <w:tc>
          <w:tcPr>
            <w:tcW w:w="10598" w:type="dxa"/>
            <w:tcBorders>
              <w:top w:val="nil"/>
              <w:left w:val="nil"/>
              <w:bottom w:val="single" w:sz="4" w:space="0" w:color="auto"/>
              <w:right w:val="nil"/>
            </w:tcBorders>
            <w:shd w:val="clear" w:color="auto" w:fill="auto"/>
          </w:tcPr>
          <w:p w14:paraId="649FF940" w14:textId="77777777" w:rsidR="001F376D" w:rsidRPr="001F5275" w:rsidRDefault="000A3E9B" w:rsidP="003F0955">
            <w:pPr>
              <w:spacing w:line="276" w:lineRule="auto"/>
              <w:jc w:val="both"/>
              <w:rPr>
                <w:rFonts w:ascii="Times New Roman" w:hAnsi="Times New Roman"/>
                <w:sz w:val="24"/>
              </w:rPr>
            </w:pPr>
          </w:p>
        </w:tc>
        <w:tc>
          <w:tcPr>
            <w:tcW w:w="1559" w:type="dxa"/>
            <w:tcBorders>
              <w:top w:val="single" w:sz="4" w:space="0" w:color="auto"/>
              <w:left w:val="nil"/>
              <w:bottom w:val="single" w:sz="4" w:space="0" w:color="auto"/>
              <w:right w:val="nil"/>
            </w:tcBorders>
            <w:shd w:val="clear" w:color="auto" w:fill="auto"/>
          </w:tcPr>
          <w:p w14:paraId="682A094E" w14:textId="77777777" w:rsidR="001F376D" w:rsidRPr="001F5275" w:rsidRDefault="000A3E9B" w:rsidP="003F0955">
            <w:pPr>
              <w:spacing w:line="276" w:lineRule="auto"/>
              <w:jc w:val="right"/>
              <w:rPr>
                <w:rFonts w:ascii="Times New Roman" w:hAnsi="Times New Roman"/>
                <w:sz w:val="24"/>
              </w:rPr>
            </w:pPr>
          </w:p>
        </w:tc>
        <w:tc>
          <w:tcPr>
            <w:tcW w:w="1701" w:type="dxa"/>
            <w:tcBorders>
              <w:top w:val="single" w:sz="4" w:space="0" w:color="auto"/>
              <w:left w:val="nil"/>
              <w:bottom w:val="single" w:sz="4" w:space="0" w:color="auto"/>
              <w:right w:val="nil"/>
            </w:tcBorders>
          </w:tcPr>
          <w:p w14:paraId="2FB3D53F" w14:textId="77777777" w:rsidR="001F376D" w:rsidRPr="001F5275" w:rsidRDefault="000A3E9B" w:rsidP="003F0955">
            <w:pPr>
              <w:spacing w:line="276" w:lineRule="auto"/>
              <w:jc w:val="right"/>
              <w:rPr>
                <w:rFonts w:ascii="Times New Roman" w:hAnsi="Times New Roman"/>
                <w:sz w:val="24"/>
              </w:rPr>
            </w:pPr>
          </w:p>
        </w:tc>
      </w:tr>
      <w:tr w:rsidR="001F376D" w:rsidRPr="001F5275" w14:paraId="38E8F916" w14:textId="77777777" w:rsidTr="001647D3">
        <w:tc>
          <w:tcPr>
            <w:tcW w:w="10598" w:type="dxa"/>
            <w:tcBorders>
              <w:top w:val="single" w:sz="4" w:space="0" w:color="auto"/>
            </w:tcBorders>
            <w:shd w:val="clear" w:color="auto" w:fill="auto"/>
            <w:vAlign w:val="center"/>
          </w:tcPr>
          <w:p w14:paraId="61D0F159" w14:textId="77777777" w:rsidR="001F376D" w:rsidRPr="001647D3" w:rsidRDefault="003A1FB2" w:rsidP="001647D3">
            <w:pPr>
              <w:spacing w:line="276" w:lineRule="auto"/>
              <w:rPr>
                <w:rFonts w:ascii="Times New Roman" w:hAnsi="Times New Roman"/>
                <w:b/>
                <w:i/>
                <w:sz w:val="24"/>
              </w:rPr>
            </w:pPr>
            <w:r w:rsidRPr="001647D3">
              <w:rPr>
                <w:rFonts w:ascii="Times New Roman" w:hAnsi="Times New Roman"/>
                <w:b/>
                <w:i/>
                <w:sz w:val="24"/>
              </w:rPr>
              <w:t>Disclosure text in accordance with Article 23(1) of the AIFMD</w:t>
            </w:r>
          </w:p>
        </w:tc>
        <w:tc>
          <w:tcPr>
            <w:tcW w:w="1559" w:type="dxa"/>
            <w:tcBorders>
              <w:top w:val="single" w:sz="4" w:space="0" w:color="auto"/>
            </w:tcBorders>
            <w:shd w:val="clear" w:color="auto" w:fill="auto"/>
          </w:tcPr>
          <w:p w14:paraId="27C7CFE8" w14:textId="77777777" w:rsidR="001F376D" w:rsidRPr="001647D3" w:rsidRDefault="003A1FB2" w:rsidP="001647D3">
            <w:pPr>
              <w:spacing w:line="276" w:lineRule="auto"/>
              <w:jc w:val="both"/>
              <w:rPr>
                <w:rFonts w:ascii="Times New Roman" w:hAnsi="Times New Roman"/>
                <w:b/>
                <w:i/>
                <w:sz w:val="24"/>
              </w:rPr>
            </w:pPr>
            <w:r w:rsidRPr="001647D3">
              <w:rPr>
                <w:rFonts w:ascii="Times New Roman" w:hAnsi="Times New Roman"/>
                <w:b/>
                <w:i/>
                <w:sz w:val="24"/>
              </w:rPr>
              <w:t>Document Name</w:t>
            </w:r>
          </w:p>
        </w:tc>
        <w:tc>
          <w:tcPr>
            <w:tcW w:w="1701" w:type="dxa"/>
            <w:tcBorders>
              <w:top w:val="single" w:sz="4" w:space="0" w:color="auto"/>
            </w:tcBorders>
          </w:tcPr>
          <w:p w14:paraId="377FB253" w14:textId="77777777" w:rsidR="001F376D" w:rsidRPr="001647D3" w:rsidRDefault="003A1FB2" w:rsidP="001F376D">
            <w:pPr>
              <w:spacing w:line="276" w:lineRule="auto"/>
              <w:jc w:val="both"/>
              <w:rPr>
                <w:rFonts w:ascii="Times New Roman" w:hAnsi="Times New Roman"/>
                <w:b/>
                <w:i/>
                <w:sz w:val="24"/>
              </w:rPr>
            </w:pPr>
            <w:r w:rsidRPr="001647D3">
              <w:rPr>
                <w:rFonts w:ascii="Times New Roman" w:hAnsi="Times New Roman"/>
                <w:b/>
                <w:i/>
                <w:sz w:val="24"/>
              </w:rPr>
              <w:t xml:space="preserve">Relevant Page(s) </w:t>
            </w:r>
          </w:p>
        </w:tc>
      </w:tr>
      <w:tr w:rsidR="001F376D" w:rsidRPr="001F5275" w14:paraId="6227E828" w14:textId="77777777" w:rsidTr="001647D3">
        <w:tc>
          <w:tcPr>
            <w:tcW w:w="10598" w:type="dxa"/>
            <w:shd w:val="clear" w:color="auto" w:fill="auto"/>
          </w:tcPr>
          <w:p w14:paraId="5CA8A026" w14:textId="77777777" w:rsidR="001F376D" w:rsidRPr="001F5275" w:rsidRDefault="000A3E9B" w:rsidP="003F0955">
            <w:pPr>
              <w:spacing w:line="276" w:lineRule="auto"/>
              <w:jc w:val="both"/>
              <w:rPr>
                <w:rFonts w:ascii="Times New Roman" w:hAnsi="Times New Roman"/>
                <w:sz w:val="24"/>
              </w:rPr>
            </w:pPr>
          </w:p>
        </w:tc>
        <w:tc>
          <w:tcPr>
            <w:tcW w:w="1559" w:type="dxa"/>
            <w:shd w:val="clear" w:color="auto" w:fill="auto"/>
          </w:tcPr>
          <w:p w14:paraId="4C14C5DE" w14:textId="77777777" w:rsidR="001F376D" w:rsidRPr="001F5275" w:rsidRDefault="000A3E9B" w:rsidP="003F0955">
            <w:pPr>
              <w:spacing w:line="276" w:lineRule="auto"/>
              <w:jc w:val="right"/>
              <w:rPr>
                <w:rFonts w:ascii="Times New Roman" w:hAnsi="Times New Roman"/>
                <w:sz w:val="24"/>
              </w:rPr>
            </w:pPr>
          </w:p>
        </w:tc>
        <w:tc>
          <w:tcPr>
            <w:tcW w:w="1701" w:type="dxa"/>
          </w:tcPr>
          <w:p w14:paraId="53F7BD59" w14:textId="77777777" w:rsidR="001F376D" w:rsidRPr="001F5275" w:rsidRDefault="000A3E9B" w:rsidP="003F0955">
            <w:pPr>
              <w:spacing w:line="276" w:lineRule="auto"/>
              <w:jc w:val="right"/>
              <w:rPr>
                <w:rFonts w:ascii="Times New Roman" w:hAnsi="Times New Roman"/>
                <w:sz w:val="24"/>
              </w:rPr>
            </w:pPr>
          </w:p>
        </w:tc>
      </w:tr>
      <w:tr w:rsidR="001F376D" w:rsidRPr="001F5275" w14:paraId="5465916B" w14:textId="77777777" w:rsidTr="001647D3">
        <w:tc>
          <w:tcPr>
            <w:tcW w:w="10598" w:type="dxa"/>
            <w:shd w:val="clear" w:color="auto" w:fill="auto"/>
          </w:tcPr>
          <w:p w14:paraId="300224CB"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Description of the investment strategy and objectives of the AIF and the types of the underlying funds (if AIF is a fund of funds)</w:t>
            </w:r>
            <w:r w:rsidRPr="001647D3">
              <w:rPr>
                <w:rFonts w:ascii="Times New Roman" w:hAnsi="Times New Roman"/>
                <w:sz w:val="24"/>
              </w:rPr>
              <w:tab/>
            </w:r>
          </w:p>
        </w:tc>
        <w:tc>
          <w:tcPr>
            <w:tcW w:w="1559" w:type="dxa"/>
            <w:shd w:val="clear" w:color="auto" w:fill="auto"/>
          </w:tcPr>
          <w:p w14:paraId="5D4A468D"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05818204"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253700AA" w14:textId="77777777" w:rsidTr="001647D3">
        <w:tc>
          <w:tcPr>
            <w:tcW w:w="10598" w:type="dxa"/>
            <w:shd w:val="clear" w:color="auto" w:fill="auto"/>
          </w:tcPr>
          <w:p w14:paraId="57889807"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Information on where the master AIF is established in the case of a feeder AIF and where the underlying funds are established if the AIF is a fund of funds</w:t>
            </w:r>
          </w:p>
        </w:tc>
        <w:tc>
          <w:tcPr>
            <w:tcW w:w="1559" w:type="dxa"/>
            <w:shd w:val="clear" w:color="auto" w:fill="auto"/>
          </w:tcPr>
          <w:p w14:paraId="2E3D1C6F"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7978AAA2"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3C956C14" w14:textId="77777777" w:rsidTr="001647D3">
        <w:tc>
          <w:tcPr>
            <w:tcW w:w="10598" w:type="dxa"/>
            <w:shd w:val="clear" w:color="auto" w:fill="auto"/>
          </w:tcPr>
          <w:p w14:paraId="4A213E51"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Description of the types of assets in which the AIF may invest</w:t>
            </w:r>
          </w:p>
        </w:tc>
        <w:tc>
          <w:tcPr>
            <w:tcW w:w="1559" w:type="dxa"/>
            <w:shd w:val="clear" w:color="auto" w:fill="auto"/>
          </w:tcPr>
          <w:p w14:paraId="78608AFB"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2AC0AC0E"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4635412A" w14:textId="77777777" w:rsidTr="001647D3">
        <w:tc>
          <w:tcPr>
            <w:tcW w:w="10598" w:type="dxa"/>
            <w:shd w:val="clear" w:color="auto" w:fill="auto"/>
          </w:tcPr>
          <w:p w14:paraId="4B6010AF"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 xml:space="preserve">Techniques the fund may employ and associated risks </w:t>
            </w:r>
          </w:p>
        </w:tc>
        <w:tc>
          <w:tcPr>
            <w:tcW w:w="1559" w:type="dxa"/>
            <w:shd w:val="clear" w:color="auto" w:fill="auto"/>
          </w:tcPr>
          <w:p w14:paraId="3F6CE61C"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4FC4A686"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43386328" w14:textId="77777777" w:rsidTr="001647D3">
        <w:tc>
          <w:tcPr>
            <w:tcW w:w="10598" w:type="dxa"/>
            <w:shd w:val="clear" w:color="auto" w:fill="auto"/>
          </w:tcPr>
          <w:p w14:paraId="0411C3F9"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Any applicable investment restrictions</w:t>
            </w:r>
          </w:p>
        </w:tc>
        <w:tc>
          <w:tcPr>
            <w:tcW w:w="1559" w:type="dxa"/>
            <w:shd w:val="clear" w:color="auto" w:fill="auto"/>
          </w:tcPr>
          <w:p w14:paraId="3897E786"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3699BEC5"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0C52B38A" w14:textId="77777777" w:rsidTr="001647D3">
        <w:tc>
          <w:tcPr>
            <w:tcW w:w="10598" w:type="dxa"/>
            <w:shd w:val="clear" w:color="auto" w:fill="auto"/>
          </w:tcPr>
          <w:p w14:paraId="6540DC55"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Circumstances in which the AIF may use leverage</w:t>
            </w:r>
          </w:p>
        </w:tc>
        <w:tc>
          <w:tcPr>
            <w:tcW w:w="1559" w:type="dxa"/>
            <w:shd w:val="clear" w:color="auto" w:fill="auto"/>
          </w:tcPr>
          <w:p w14:paraId="04518AD0"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4747108C"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48575CE5" w14:textId="77777777" w:rsidTr="001647D3">
        <w:tc>
          <w:tcPr>
            <w:tcW w:w="10598" w:type="dxa"/>
            <w:shd w:val="clear" w:color="auto" w:fill="auto"/>
          </w:tcPr>
          <w:p w14:paraId="5BBE5F17"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 xml:space="preserve">Types and sources of leverage permitted and associated risks </w:t>
            </w:r>
          </w:p>
        </w:tc>
        <w:tc>
          <w:tcPr>
            <w:tcW w:w="1559" w:type="dxa"/>
            <w:shd w:val="clear" w:color="auto" w:fill="auto"/>
          </w:tcPr>
          <w:p w14:paraId="3152EAC5"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5505533E"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30101D1F" w14:textId="77777777" w:rsidTr="001647D3">
        <w:tc>
          <w:tcPr>
            <w:tcW w:w="10598" w:type="dxa"/>
            <w:shd w:val="clear" w:color="auto" w:fill="auto"/>
          </w:tcPr>
          <w:p w14:paraId="5A93A232"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 xml:space="preserve">Any restrictions on the use of leverage and any collateral and asset reuse arrangements </w:t>
            </w:r>
          </w:p>
        </w:tc>
        <w:tc>
          <w:tcPr>
            <w:tcW w:w="1559" w:type="dxa"/>
            <w:shd w:val="clear" w:color="auto" w:fill="auto"/>
          </w:tcPr>
          <w:p w14:paraId="6CC22C4E"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702AABDC"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605A6D49" w14:textId="77777777" w:rsidTr="001647D3">
        <w:tc>
          <w:tcPr>
            <w:tcW w:w="10598" w:type="dxa"/>
            <w:shd w:val="clear" w:color="auto" w:fill="auto"/>
          </w:tcPr>
          <w:p w14:paraId="7539EE06"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Maximum level of leverage which the AIFM is entitled to employ</w:t>
            </w:r>
          </w:p>
        </w:tc>
        <w:tc>
          <w:tcPr>
            <w:tcW w:w="1559" w:type="dxa"/>
            <w:shd w:val="clear" w:color="auto" w:fill="auto"/>
          </w:tcPr>
          <w:p w14:paraId="4A6D4C1F"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5E0E297C"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1EB0521D" w14:textId="77777777" w:rsidTr="001647D3">
        <w:tc>
          <w:tcPr>
            <w:tcW w:w="10598" w:type="dxa"/>
            <w:shd w:val="clear" w:color="auto" w:fill="auto"/>
          </w:tcPr>
          <w:p w14:paraId="081F714D"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A description of the procedures by which the AIF may change its investment strategy or investment policy, or both</w:t>
            </w:r>
            <w:r w:rsidRPr="001647D3">
              <w:rPr>
                <w:rFonts w:ascii="Times New Roman" w:hAnsi="Times New Roman"/>
                <w:sz w:val="24"/>
              </w:rPr>
              <w:tab/>
            </w:r>
          </w:p>
        </w:tc>
        <w:tc>
          <w:tcPr>
            <w:tcW w:w="1559" w:type="dxa"/>
            <w:shd w:val="clear" w:color="auto" w:fill="auto"/>
          </w:tcPr>
          <w:p w14:paraId="394A3A0A"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6FA16BC5"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2E2EBBE0" w14:textId="77777777" w:rsidTr="001647D3">
        <w:tc>
          <w:tcPr>
            <w:tcW w:w="10598" w:type="dxa"/>
            <w:shd w:val="clear" w:color="auto" w:fill="auto"/>
          </w:tcPr>
          <w:p w14:paraId="6D4AEB96"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Description of the main legal implications of the contractual relationship entered into for the purpose of investment, including information on jurisdiction, on the applicable law and on the existence or not of any legal instruments providing for the recognition and enforcement of judgments in the territory where the AIF is established</w:t>
            </w:r>
            <w:r w:rsidRPr="001647D3">
              <w:rPr>
                <w:rFonts w:ascii="Times New Roman" w:hAnsi="Times New Roman"/>
                <w:sz w:val="24"/>
              </w:rPr>
              <w:tab/>
            </w:r>
          </w:p>
        </w:tc>
        <w:tc>
          <w:tcPr>
            <w:tcW w:w="1559" w:type="dxa"/>
            <w:shd w:val="clear" w:color="auto" w:fill="auto"/>
          </w:tcPr>
          <w:p w14:paraId="6E3CDD83"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300AECE4"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6EAE8FAF" w14:textId="77777777" w:rsidTr="001647D3">
        <w:tc>
          <w:tcPr>
            <w:tcW w:w="10598" w:type="dxa"/>
            <w:shd w:val="clear" w:color="auto" w:fill="auto"/>
          </w:tcPr>
          <w:p w14:paraId="51EA3A12"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The identity of the AIFM, the AIF’s depositary, the auditor and any other service providers and a description of their duties and the investors’ rights</w:t>
            </w:r>
          </w:p>
        </w:tc>
        <w:tc>
          <w:tcPr>
            <w:tcW w:w="1559" w:type="dxa"/>
            <w:shd w:val="clear" w:color="auto" w:fill="auto"/>
          </w:tcPr>
          <w:p w14:paraId="21C29923"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417989F7"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61C898B0" w14:textId="77777777" w:rsidTr="001647D3">
        <w:tc>
          <w:tcPr>
            <w:tcW w:w="10598" w:type="dxa"/>
            <w:shd w:val="clear" w:color="auto" w:fill="auto"/>
          </w:tcPr>
          <w:p w14:paraId="39CB2D4D"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lastRenderedPageBreak/>
              <w:t xml:space="preserve">A description of how the AIFM is complying with the own funds/PII requirements </w:t>
            </w:r>
          </w:p>
        </w:tc>
        <w:tc>
          <w:tcPr>
            <w:tcW w:w="1559" w:type="dxa"/>
            <w:shd w:val="clear" w:color="auto" w:fill="auto"/>
          </w:tcPr>
          <w:p w14:paraId="4295BF36"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05D5451A"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10837D81" w14:textId="77777777" w:rsidTr="001647D3">
        <w:tc>
          <w:tcPr>
            <w:tcW w:w="10598" w:type="dxa"/>
            <w:shd w:val="clear" w:color="auto" w:fill="auto"/>
          </w:tcPr>
          <w:p w14:paraId="67967226"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A description of any delegated management function by the AIFM and of any safe-keeping function delegated by the depositary, the identification of the delegate and any conflicts of interest that may arise from such delegations</w:t>
            </w:r>
            <w:r w:rsidRPr="001647D3">
              <w:rPr>
                <w:rFonts w:ascii="Times New Roman" w:hAnsi="Times New Roman"/>
                <w:sz w:val="24"/>
              </w:rPr>
              <w:tab/>
            </w:r>
          </w:p>
        </w:tc>
        <w:tc>
          <w:tcPr>
            <w:tcW w:w="1559" w:type="dxa"/>
            <w:shd w:val="clear" w:color="auto" w:fill="auto"/>
          </w:tcPr>
          <w:p w14:paraId="11A61052"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2ACCDE93"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00324C5A" w14:textId="77777777" w:rsidTr="001647D3">
        <w:tc>
          <w:tcPr>
            <w:tcW w:w="10598" w:type="dxa"/>
            <w:shd w:val="clear" w:color="auto" w:fill="auto"/>
          </w:tcPr>
          <w:p w14:paraId="1F727803"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A description of the AIF’s valuation procedure and of the pricing methodology for valuing assets, including the methods used in valuing hard-to-value assets</w:t>
            </w:r>
            <w:r w:rsidRPr="001647D3">
              <w:rPr>
                <w:rFonts w:ascii="Times New Roman" w:hAnsi="Times New Roman"/>
                <w:sz w:val="24"/>
              </w:rPr>
              <w:tab/>
            </w:r>
          </w:p>
        </w:tc>
        <w:tc>
          <w:tcPr>
            <w:tcW w:w="1559" w:type="dxa"/>
            <w:shd w:val="clear" w:color="auto" w:fill="auto"/>
          </w:tcPr>
          <w:p w14:paraId="0572BCC5"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1DC09574"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746857DE" w14:textId="77777777" w:rsidTr="001647D3">
        <w:tc>
          <w:tcPr>
            <w:tcW w:w="10598" w:type="dxa"/>
            <w:shd w:val="clear" w:color="auto" w:fill="auto"/>
          </w:tcPr>
          <w:p w14:paraId="24A7B791"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A description of the AIF’s liquidity risk management, including the redemption rights both in normal and in exceptional circumstances, and the existing redemption arrangements with investors</w:t>
            </w:r>
            <w:r w:rsidRPr="001647D3">
              <w:rPr>
                <w:rFonts w:ascii="Times New Roman" w:hAnsi="Times New Roman"/>
                <w:sz w:val="24"/>
              </w:rPr>
              <w:tab/>
            </w:r>
          </w:p>
        </w:tc>
        <w:tc>
          <w:tcPr>
            <w:tcW w:w="1559" w:type="dxa"/>
            <w:shd w:val="clear" w:color="auto" w:fill="auto"/>
          </w:tcPr>
          <w:p w14:paraId="513A0939"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3A80A5E0"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7090ED32" w14:textId="77777777" w:rsidTr="001647D3">
        <w:tc>
          <w:tcPr>
            <w:tcW w:w="10598" w:type="dxa"/>
            <w:shd w:val="clear" w:color="auto" w:fill="auto"/>
          </w:tcPr>
          <w:p w14:paraId="61FFC327"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 xml:space="preserve">A description of all fees, </w:t>
            </w:r>
            <w:proofErr w:type="gramStart"/>
            <w:r w:rsidRPr="001647D3">
              <w:rPr>
                <w:rFonts w:ascii="Times New Roman" w:hAnsi="Times New Roman"/>
                <w:sz w:val="24"/>
              </w:rPr>
              <w:t>charges</w:t>
            </w:r>
            <w:proofErr w:type="gramEnd"/>
            <w:r w:rsidRPr="001647D3">
              <w:rPr>
                <w:rFonts w:ascii="Times New Roman" w:hAnsi="Times New Roman"/>
                <w:sz w:val="24"/>
              </w:rPr>
              <w:t xml:space="preserve"> and expenses and of the maximum amounts thereof which are directly or indirectly borne by investors</w:t>
            </w:r>
          </w:p>
        </w:tc>
        <w:tc>
          <w:tcPr>
            <w:tcW w:w="1559" w:type="dxa"/>
            <w:shd w:val="clear" w:color="auto" w:fill="auto"/>
          </w:tcPr>
          <w:p w14:paraId="2BEE9167"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7A4CD4E9"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5620EBD6" w14:textId="77777777" w:rsidTr="001647D3">
        <w:tc>
          <w:tcPr>
            <w:tcW w:w="10598" w:type="dxa"/>
            <w:shd w:val="clear" w:color="auto" w:fill="auto"/>
          </w:tcPr>
          <w:p w14:paraId="02E88F6E"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A description of how the AIFM ensures a fair treatment of investors and, whenever an investor obtains preferential treatment or the right to obtain preferential treatment, a description of that preferential treatment, the type of investors who obtain such preferential treatment and, where relevant, their legal or economic links with the AIF or AIFM</w:t>
            </w:r>
          </w:p>
        </w:tc>
        <w:tc>
          <w:tcPr>
            <w:tcW w:w="1559" w:type="dxa"/>
            <w:shd w:val="clear" w:color="auto" w:fill="auto"/>
          </w:tcPr>
          <w:p w14:paraId="2ED3109B"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7230D323"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7ACCA71B" w14:textId="77777777" w:rsidTr="001647D3">
        <w:tc>
          <w:tcPr>
            <w:tcW w:w="10598" w:type="dxa"/>
            <w:shd w:val="clear" w:color="auto" w:fill="auto"/>
          </w:tcPr>
          <w:p w14:paraId="48044FFA"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The latest annual report</w:t>
            </w:r>
          </w:p>
        </w:tc>
        <w:tc>
          <w:tcPr>
            <w:tcW w:w="1559" w:type="dxa"/>
            <w:shd w:val="clear" w:color="auto" w:fill="auto"/>
          </w:tcPr>
          <w:p w14:paraId="687CFE7D"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1E3BE4FE"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477D52FC" w14:textId="77777777" w:rsidTr="001647D3">
        <w:tc>
          <w:tcPr>
            <w:tcW w:w="10598" w:type="dxa"/>
            <w:shd w:val="clear" w:color="auto" w:fill="auto"/>
          </w:tcPr>
          <w:p w14:paraId="1833B7EA"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Procedure and conditions for the issue and sale of units of shares</w:t>
            </w:r>
          </w:p>
        </w:tc>
        <w:tc>
          <w:tcPr>
            <w:tcW w:w="1559" w:type="dxa"/>
            <w:shd w:val="clear" w:color="auto" w:fill="auto"/>
          </w:tcPr>
          <w:p w14:paraId="13233E4A"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4A194BCA"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47F8F8E2" w14:textId="77777777" w:rsidTr="001647D3">
        <w:tc>
          <w:tcPr>
            <w:tcW w:w="10598" w:type="dxa"/>
            <w:shd w:val="clear" w:color="auto" w:fill="auto"/>
          </w:tcPr>
          <w:p w14:paraId="2DE555C7"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 xml:space="preserve">The latest Net Asset Value of the AIF or the latest market price of the unit or share of the AIF </w:t>
            </w:r>
          </w:p>
        </w:tc>
        <w:tc>
          <w:tcPr>
            <w:tcW w:w="1559" w:type="dxa"/>
            <w:shd w:val="clear" w:color="auto" w:fill="auto"/>
          </w:tcPr>
          <w:p w14:paraId="52189107"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13809C4D"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0DC5789A" w14:textId="77777777" w:rsidTr="001647D3">
        <w:tc>
          <w:tcPr>
            <w:tcW w:w="10598" w:type="dxa"/>
            <w:shd w:val="clear" w:color="auto" w:fill="auto"/>
          </w:tcPr>
          <w:p w14:paraId="3570D7CF"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Where available, the historical performance of the AIF</w:t>
            </w:r>
          </w:p>
        </w:tc>
        <w:tc>
          <w:tcPr>
            <w:tcW w:w="1559" w:type="dxa"/>
            <w:shd w:val="clear" w:color="auto" w:fill="auto"/>
          </w:tcPr>
          <w:p w14:paraId="4513F4A5"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299D2C9E"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674D67F8" w14:textId="77777777" w:rsidTr="001647D3">
        <w:tc>
          <w:tcPr>
            <w:tcW w:w="10598" w:type="dxa"/>
            <w:shd w:val="clear" w:color="auto" w:fill="auto"/>
          </w:tcPr>
          <w:p w14:paraId="6BB05F32" w14:textId="77777777" w:rsidR="001F376D" w:rsidRPr="001647D3" w:rsidRDefault="003A1FB2" w:rsidP="001647D3">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The identity of the prime broker and a description of any material arrangements of the AIF with its prime brokers and the way the conflicts of interest in relation thereto are managed, the provision in the contract with the depository on the possibility of transfer and reuse of AIF assets, and information about any transfer of liability to the prime broker that may exist</w:t>
            </w:r>
          </w:p>
        </w:tc>
        <w:tc>
          <w:tcPr>
            <w:tcW w:w="1559" w:type="dxa"/>
            <w:shd w:val="clear" w:color="auto" w:fill="auto"/>
          </w:tcPr>
          <w:p w14:paraId="6840E44B"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1C82F713"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1F376D" w:rsidRPr="001F5275" w14:paraId="06119168" w14:textId="77777777" w:rsidTr="001647D3">
        <w:tc>
          <w:tcPr>
            <w:tcW w:w="10598" w:type="dxa"/>
            <w:shd w:val="clear" w:color="auto" w:fill="auto"/>
          </w:tcPr>
          <w:p w14:paraId="1F9A8DA8" w14:textId="77777777" w:rsidR="001F376D" w:rsidRPr="001647D3" w:rsidRDefault="003A1FB2" w:rsidP="000D1C11">
            <w:pPr>
              <w:pStyle w:val="ListParagraph"/>
              <w:numPr>
                <w:ilvl w:val="0"/>
                <w:numId w:val="5"/>
              </w:numPr>
              <w:spacing w:line="276" w:lineRule="auto"/>
              <w:jc w:val="both"/>
              <w:rPr>
                <w:rFonts w:ascii="Times New Roman" w:hAnsi="Times New Roman"/>
                <w:sz w:val="24"/>
              </w:rPr>
            </w:pPr>
            <w:r w:rsidRPr="001647D3">
              <w:rPr>
                <w:rFonts w:ascii="Times New Roman" w:hAnsi="Times New Roman"/>
                <w:sz w:val="24"/>
              </w:rPr>
              <w:t xml:space="preserve">A description of how and when the information required under </w:t>
            </w:r>
            <w:r>
              <w:rPr>
                <w:rFonts w:ascii="Times New Roman" w:hAnsi="Times New Roman"/>
                <w:sz w:val="24"/>
              </w:rPr>
              <w:t>SLCs 6.05 and 6</w:t>
            </w:r>
            <w:r w:rsidRPr="001647D3">
              <w:rPr>
                <w:rFonts w:ascii="Times New Roman" w:hAnsi="Times New Roman"/>
                <w:sz w:val="24"/>
              </w:rPr>
              <w:t>.06 of</w:t>
            </w:r>
            <w:r>
              <w:rPr>
                <w:rFonts w:ascii="Times New Roman" w:hAnsi="Times New Roman"/>
                <w:sz w:val="24"/>
              </w:rPr>
              <w:t xml:space="preserve"> Appendix 4 of</w:t>
            </w:r>
            <w:r w:rsidRPr="001647D3">
              <w:rPr>
                <w:rFonts w:ascii="Times New Roman" w:hAnsi="Times New Roman"/>
                <w:sz w:val="24"/>
              </w:rPr>
              <w:t xml:space="preserve"> Part</w:t>
            </w:r>
            <w:r>
              <w:rPr>
                <w:rFonts w:ascii="Times New Roman" w:hAnsi="Times New Roman"/>
                <w:sz w:val="24"/>
              </w:rPr>
              <w:t xml:space="preserve"> B</w:t>
            </w:r>
            <w:r w:rsidRPr="001647D3">
              <w:rPr>
                <w:rFonts w:ascii="Times New Roman" w:hAnsi="Times New Roman"/>
                <w:sz w:val="24"/>
              </w:rPr>
              <w:t xml:space="preserve"> of the Investment Services Rules for </w:t>
            </w:r>
            <w:r>
              <w:rPr>
                <w:rFonts w:ascii="Times New Roman" w:hAnsi="Times New Roman"/>
                <w:sz w:val="24"/>
              </w:rPr>
              <w:t xml:space="preserve">Alternative Investment Funds </w:t>
            </w:r>
            <w:r w:rsidRPr="001647D3">
              <w:rPr>
                <w:rFonts w:ascii="Times New Roman" w:hAnsi="Times New Roman"/>
                <w:sz w:val="24"/>
              </w:rPr>
              <w:t>will be disclosed</w:t>
            </w:r>
          </w:p>
        </w:tc>
        <w:tc>
          <w:tcPr>
            <w:tcW w:w="1559" w:type="dxa"/>
            <w:shd w:val="clear" w:color="auto" w:fill="auto"/>
          </w:tcPr>
          <w:p w14:paraId="0739237A"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01" w:type="dxa"/>
          </w:tcPr>
          <w:p w14:paraId="3612B0B3" w14:textId="77777777" w:rsidR="001F376D" w:rsidRPr="001F5275" w:rsidRDefault="003A1FB2" w:rsidP="0023057B">
            <w:pPr>
              <w:spacing w:line="276" w:lineRule="auto"/>
              <w:rPr>
                <w:rFonts w:ascii="Times New Roman" w:hAnsi="Times New Roman"/>
                <w:sz w:val="24"/>
              </w:rPr>
            </w:pPr>
            <w:r>
              <w:rPr>
                <w:rFonts w:ascii="Arial" w:hAnsi="Arial"/>
              </w:rP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6B03F61B" w14:textId="77777777" w:rsidR="001F376D" w:rsidRDefault="000A3E9B" w:rsidP="00831B78">
      <w:pPr>
        <w:spacing w:line="276" w:lineRule="auto"/>
        <w:jc w:val="both"/>
        <w:rPr>
          <w:rFonts w:ascii="Times New Roman" w:hAnsi="Times New Roman"/>
          <w:i/>
          <w:sz w:val="20"/>
          <w:szCs w:val="20"/>
        </w:rPr>
        <w:sectPr w:rsidR="001F376D" w:rsidSect="00627392">
          <w:headerReference w:type="default" r:id="rId15"/>
          <w:pgSz w:w="16838" w:h="11906" w:orient="landscape"/>
          <w:pgMar w:top="1440" w:right="1440" w:bottom="1440" w:left="1440" w:header="708" w:footer="708" w:gutter="0"/>
          <w:cols w:space="708"/>
          <w:docGrid w:linePitch="360"/>
        </w:sectPr>
      </w:pPr>
    </w:p>
    <w:p w14:paraId="120553E9" w14:textId="77777777" w:rsidR="00627392" w:rsidRPr="001647D3" w:rsidRDefault="000A3E9B" w:rsidP="00831B78">
      <w:pPr>
        <w:spacing w:line="276" w:lineRule="auto"/>
        <w:jc w:val="both"/>
        <w:rPr>
          <w:rFonts w:ascii="Times New Roman" w:hAnsi="Times New Roman"/>
          <w:i/>
          <w:sz w:val="20"/>
          <w:szCs w:val="20"/>
        </w:rPr>
      </w:pPr>
    </w:p>
    <w:p w14:paraId="7170CCE9" w14:textId="77777777" w:rsidR="00831B78" w:rsidRDefault="003A1FB2" w:rsidP="00831B78">
      <w:pPr>
        <w:spacing w:line="276" w:lineRule="auto"/>
        <w:jc w:val="both"/>
        <w:rPr>
          <w:rFonts w:ascii="Times New Roman" w:hAnsi="Times New Roman"/>
          <w:b/>
          <w:sz w:val="28"/>
          <w:szCs w:val="28"/>
        </w:rPr>
      </w:pPr>
      <w:r>
        <w:rPr>
          <w:rFonts w:ascii="Times New Roman" w:hAnsi="Times New Roman"/>
          <w:b/>
          <w:sz w:val="28"/>
          <w:szCs w:val="28"/>
        </w:rPr>
        <w:t>Checklist</w:t>
      </w:r>
    </w:p>
    <w:p w14:paraId="0F71FA7D" w14:textId="77777777" w:rsidR="00831B78" w:rsidRDefault="000A3E9B" w:rsidP="00831B78">
      <w:pPr>
        <w:spacing w:line="276" w:lineRule="auto"/>
        <w:jc w:val="both"/>
        <w:rPr>
          <w:rFonts w:ascii="Times New Roman" w:hAnsi="Times New Roman"/>
          <w:b/>
          <w:sz w:val="28"/>
          <w:szCs w:val="28"/>
        </w:rPr>
      </w:pPr>
    </w:p>
    <w:p w14:paraId="22A339FF" w14:textId="77777777" w:rsidR="00831B78" w:rsidRDefault="003A1FB2" w:rsidP="00831B78">
      <w:pPr>
        <w:spacing w:line="276" w:lineRule="auto"/>
        <w:jc w:val="both"/>
        <w:rPr>
          <w:rFonts w:ascii="Times New Roman" w:hAnsi="Times New Roman"/>
          <w:sz w:val="24"/>
        </w:rPr>
      </w:pPr>
      <w:r w:rsidRPr="00B84CEB">
        <w:rPr>
          <w:rFonts w:ascii="Times New Roman" w:hAnsi="Times New Roman"/>
          <w:sz w:val="24"/>
        </w:rPr>
        <w:t xml:space="preserve">The </w:t>
      </w:r>
      <w:r>
        <w:rPr>
          <w:rFonts w:ascii="Times New Roman" w:hAnsi="Times New Roman"/>
          <w:sz w:val="24"/>
        </w:rPr>
        <w:t>following documents should be provided with this Notification Form:</w:t>
      </w:r>
    </w:p>
    <w:p w14:paraId="6AF4A208" w14:textId="77777777" w:rsidR="002F6454" w:rsidRPr="00B84CEB" w:rsidRDefault="000A3E9B" w:rsidP="00831B78">
      <w:pPr>
        <w:spacing w:line="276" w:lineRule="auto"/>
        <w:jc w:val="both"/>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3"/>
        <w:gridCol w:w="1193"/>
      </w:tblGrid>
      <w:tr w:rsidR="002F6454" w14:paraId="0ACD16F3" w14:textId="77777777" w:rsidTr="001647D3">
        <w:tc>
          <w:tcPr>
            <w:tcW w:w="8046" w:type="dxa"/>
          </w:tcPr>
          <w:p w14:paraId="45F9082A" w14:textId="77777777" w:rsidR="002F6454" w:rsidRPr="001647D3" w:rsidRDefault="003A1FB2" w:rsidP="00831B78">
            <w:pPr>
              <w:spacing w:line="276" w:lineRule="auto"/>
              <w:jc w:val="both"/>
              <w:rPr>
                <w:rFonts w:ascii="Times New Roman" w:hAnsi="Times New Roman"/>
                <w:b/>
                <w:i/>
                <w:sz w:val="24"/>
              </w:rPr>
            </w:pPr>
            <w:r w:rsidRPr="001647D3">
              <w:rPr>
                <w:rFonts w:ascii="Times New Roman" w:hAnsi="Times New Roman"/>
                <w:b/>
                <w:i/>
                <w:sz w:val="24"/>
              </w:rPr>
              <w:t>Document</w:t>
            </w:r>
          </w:p>
        </w:tc>
        <w:tc>
          <w:tcPr>
            <w:tcW w:w="1196" w:type="dxa"/>
          </w:tcPr>
          <w:p w14:paraId="7DBB0573" w14:textId="77777777" w:rsidR="002F6454" w:rsidRPr="001647D3" w:rsidRDefault="003A1FB2" w:rsidP="001647D3">
            <w:pPr>
              <w:spacing w:line="276" w:lineRule="auto"/>
              <w:jc w:val="center"/>
              <w:rPr>
                <w:rFonts w:ascii="Times New Roman" w:hAnsi="Times New Roman"/>
                <w:b/>
                <w:i/>
                <w:sz w:val="24"/>
              </w:rPr>
            </w:pPr>
            <w:r w:rsidRPr="001647D3">
              <w:rPr>
                <w:rFonts w:ascii="Times New Roman" w:hAnsi="Times New Roman"/>
                <w:b/>
                <w:i/>
                <w:sz w:val="24"/>
              </w:rPr>
              <w:t>Enclosed</w:t>
            </w:r>
          </w:p>
        </w:tc>
      </w:tr>
      <w:tr w:rsidR="002F6454" w14:paraId="6BD93F9E" w14:textId="77777777" w:rsidTr="001647D3">
        <w:tc>
          <w:tcPr>
            <w:tcW w:w="8046" w:type="dxa"/>
          </w:tcPr>
          <w:p w14:paraId="78F619A7" w14:textId="77777777" w:rsidR="002F6454" w:rsidRDefault="000A3E9B" w:rsidP="00831B78">
            <w:pPr>
              <w:spacing w:line="276" w:lineRule="auto"/>
              <w:jc w:val="both"/>
              <w:rPr>
                <w:rFonts w:ascii="Times New Roman" w:hAnsi="Times New Roman"/>
                <w:sz w:val="24"/>
              </w:rPr>
            </w:pPr>
          </w:p>
        </w:tc>
        <w:tc>
          <w:tcPr>
            <w:tcW w:w="1196" w:type="dxa"/>
          </w:tcPr>
          <w:p w14:paraId="14431069" w14:textId="77777777" w:rsidR="002F6454" w:rsidRDefault="000A3E9B" w:rsidP="00831B78">
            <w:pPr>
              <w:spacing w:line="276" w:lineRule="auto"/>
              <w:jc w:val="both"/>
              <w:rPr>
                <w:rFonts w:ascii="Times New Roman" w:hAnsi="Times New Roman"/>
                <w:sz w:val="24"/>
              </w:rPr>
            </w:pPr>
          </w:p>
        </w:tc>
      </w:tr>
      <w:tr w:rsidR="006427FF" w14:paraId="0F327173" w14:textId="77777777" w:rsidTr="001647D3">
        <w:tc>
          <w:tcPr>
            <w:tcW w:w="8046" w:type="dxa"/>
          </w:tcPr>
          <w:p w14:paraId="086A8870" w14:textId="77777777" w:rsidR="006427FF" w:rsidRPr="001647D3" w:rsidRDefault="003A1FB2" w:rsidP="001647D3">
            <w:pPr>
              <w:pStyle w:val="ListParagraph"/>
              <w:numPr>
                <w:ilvl w:val="0"/>
                <w:numId w:val="6"/>
              </w:numPr>
              <w:spacing w:line="276" w:lineRule="auto"/>
              <w:ind w:left="426" w:hanging="437"/>
              <w:jc w:val="both"/>
              <w:rPr>
                <w:rFonts w:ascii="Times New Roman" w:hAnsi="Times New Roman"/>
                <w:sz w:val="24"/>
              </w:rPr>
            </w:pPr>
            <w:r w:rsidRPr="001647D3">
              <w:rPr>
                <w:rFonts w:ascii="Times New Roman" w:hAnsi="Times New Roman"/>
                <w:sz w:val="24"/>
              </w:rPr>
              <w:t xml:space="preserve">Declaration </w:t>
            </w:r>
            <w:r>
              <w:rPr>
                <w:rFonts w:ascii="Times New Roman" w:hAnsi="Times New Roman"/>
                <w:sz w:val="24"/>
              </w:rPr>
              <w:t>to the Notification Form</w:t>
            </w:r>
          </w:p>
        </w:tc>
        <w:tc>
          <w:tcPr>
            <w:tcW w:w="1196" w:type="dxa"/>
            <w:vAlign w:val="center"/>
          </w:tcPr>
          <w:p w14:paraId="7A00E3DC" w14:textId="77777777" w:rsidR="006427FF" w:rsidRDefault="003A1FB2" w:rsidP="001647D3">
            <w:pPr>
              <w:spacing w:line="276" w:lineRule="auto"/>
              <w:jc w:val="center"/>
              <w:rPr>
                <w:rFonts w:ascii="Times New Roman" w:hAnsi="Times New Roman"/>
                <w:sz w:val="24"/>
              </w:rPr>
            </w:pPr>
            <w:r>
              <w:rPr>
                <w:sz w:val="20"/>
              </w:rPr>
              <w:fldChar w:fldCharType="begin">
                <w:ffData>
                  <w:name w:val="Check1"/>
                  <w:enabled/>
                  <w:calcOnExit w:val="0"/>
                  <w:checkBox>
                    <w:sizeAuto/>
                    <w:default w:val="0"/>
                  </w:checkBox>
                </w:ffData>
              </w:fldChar>
            </w:r>
            <w:r>
              <w:rPr>
                <w:sz w:val="20"/>
              </w:rPr>
              <w:instrText xml:space="preserve"> FORMCHECKBOX </w:instrText>
            </w:r>
            <w:r w:rsidR="000A3E9B">
              <w:rPr>
                <w:sz w:val="20"/>
              </w:rPr>
            </w:r>
            <w:r w:rsidR="000A3E9B">
              <w:rPr>
                <w:sz w:val="20"/>
              </w:rPr>
              <w:fldChar w:fldCharType="separate"/>
            </w:r>
            <w:r>
              <w:rPr>
                <w:sz w:val="20"/>
              </w:rPr>
              <w:fldChar w:fldCharType="end"/>
            </w:r>
          </w:p>
        </w:tc>
      </w:tr>
      <w:tr w:rsidR="006427FF" w14:paraId="6324F14A" w14:textId="77777777" w:rsidTr="001647D3">
        <w:tc>
          <w:tcPr>
            <w:tcW w:w="8046" w:type="dxa"/>
          </w:tcPr>
          <w:p w14:paraId="1D370C71" w14:textId="77777777" w:rsidR="006427FF" w:rsidRPr="001647D3" w:rsidRDefault="003A1FB2" w:rsidP="001647D3">
            <w:pPr>
              <w:pStyle w:val="ListParagraph"/>
              <w:numPr>
                <w:ilvl w:val="0"/>
                <w:numId w:val="6"/>
              </w:numPr>
              <w:spacing w:line="276" w:lineRule="auto"/>
              <w:ind w:left="426" w:hanging="437"/>
              <w:jc w:val="both"/>
              <w:rPr>
                <w:rFonts w:ascii="Times New Roman" w:hAnsi="Times New Roman"/>
                <w:sz w:val="24"/>
              </w:rPr>
            </w:pPr>
            <w:r w:rsidRPr="001F5275">
              <w:rPr>
                <w:rFonts w:ascii="Times New Roman" w:hAnsi="Times New Roman"/>
                <w:sz w:val="24"/>
              </w:rPr>
              <w:t xml:space="preserve">Copies of the </w:t>
            </w:r>
            <w:r>
              <w:rPr>
                <w:rFonts w:ascii="Times New Roman" w:hAnsi="Times New Roman"/>
                <w:sz w:val="24"/>
              </w:rPr>
              <w:t xml:space="preserve">AIF </w:t>
            </w:r>
            <w:r w:rsidRPr="001F5275">
              <w:rPr>
                <w:rFonts w:ascii="Times New Roman" w:hAnsi="Times New Roman"/>
                <w:sz w:val="24"/>
              </w:rPr>
              <w:t xml:space="preserve">rules or </w:t>
            </w:r>
            <w:r>
              <w:rPr>
                <w:rFonts w:ascii="Times New Roman" w:hAnsi="Times New Roman"/>
                <w:sz w:val="24"/>
              </w:rPr>
              <w:t xml:space="preserve">instruments of </w:t>
            </w:r>
            <w:r w:rsidRPr="001F5275">
              <w:rPr>
                <w:rFonts w:ascii="Times New Roman" w:hAnsi="Times New Roman"/>
                <w:sz w:val="24"/>
              </w:rPr>
              <w:t>incorporation of each AIF to be ma</w:t>
            </w:r>
            <w:r>
              <w:rPr>
                <w:rFonts w:ascii="Times New Roman" w:hAnsi="Times New Roman"/>
                <w:sz w:val="24"/>
              </w:rPr>
              <w:t>rketed in accordance with this N</w:t>
            </w:r>
            <w:r w:rsidRPr="001F5275">
              <w:rPr>
                <w:rFonts w:ascii="Times New Roman" w:hAnsi="Times New Roman"/>
                <w:sz w:val="24"/>
              </w:rPr>
              <w:t>otification</w:t>
            </w:r>
            <w:r>
              <w:rPr>
                <w:rFonts w:ascii="Times New Roman" w:hAnsi="Times New Roman"/>
                <w:sz w:val="24"/>
              </w:rPr>
              <w:t xml:space="preserve"> Letter (in electronic file format)</w:t>
            </w:r>
          </w:p>
        </w:tc>
        <w:tc>
          <w:tcPr>
            <w:tcW w:w="1196" w:type="dxa"/>
            <w:vAlign w:val="center"/>
          </w:tcPr>
          <w:p w14:paraId="63E4FF59" w14:textId="77777777" w:rsidR="006427FF" w:rsidRDefault="003A1FB2" w:rsidP="001647D3">
            <w:pPr>
              <w:spacing w:line="276" w:lineRule="auto"/>
              <w:jc w:val="center"/>
              <w:rPr>
                <w:rFonts w:ascii="Times New Roman" w:hAnsi="Times New Roman"/>
                <w:sz w:val="24"/>
              </w:rPr>
            </w:pPr>
            <w:r>
              <w:rPr>
                <w:sz w:val="20"/>
              </w:rPr>
              <w:fldChar w:fldCharType="begin">
                <w:ffData>
                  <w:name w:val="Check1"/>
                  <w:enabled/>
                  <w:calcOnExit w:val="0"/>
                  <w:checkBox>
                    <w:sizeAuto/>
                    <w:default w:val="0"/>
                  </w:checkBox>
                </w:ffData>
              </w:fldChar>
            </w:r>
            <w:r>
              <w:rPr>
                <w:sz w:val="20"/>
              </w:rPr>
              <w:instrText xml:space="preserve"> FORMCHECKBOX </w:instrText>
            </w:r>
            <w:r w:rsidR="000A3E9B">
              <w:rPr>
                <w:sz w:val="20"/>
              </w:rPr>
            </w:r>
            <w:r w:rsidR="000A3E9B">
              <w:rPr>
                <w:sz w:val="20"/>
              </w:rPr>
              <w:fldChar w:fldCharType="separate"/>
            </w:r>
            <w:r>
              <w:rPr>
                <w:sz w:val="20"/>
              </w:rPr>
              <w:fldChar w:fldCharType="end"/>
            </w:r>
          </w:p>
        </w:tc>
      </w:tr>
      <w:tr w:rsidR="006427FF" w14:paraId="55F9ACF8" w14:textId="77777777" w:rsidTr="001647D3">
        <w:tc>
          <w:tcPr>
            <w:tcW w:w="8046" w:type="dxa"/>
          </w:tcPr>
          <w:p w14:paraId="1B499CAB" w14:textId="77777777" w:rsidR="006427FF" w:rsidRPr="001647D3" w:rsidRDefault="003A1FB2" w:rsidP="001647D3">
            <w:pPr>
              <w:pStyle w:val="ListParagraph"/>
              <w:numPr>
                <w:ilvl w:val="0"/>
                <w:numId w:val="6"/>
              </w:numPr>
              <w:spacing w:line="276" w:lineRule="auto"/>
              <w:ind w:left="426" w:hanging="437"/>
              <w:jc w:val="both"/>
              <w:rPr>
                <w:rFonts w:ascii="Times New Roman" w:hAnsi="Times New Roman"/>
                <w:sz w:val="24"/>
              </w:rPr>
            </w:pPr>
            <w:r>
              <w:rPr>
                <w:rFonts w:ascii="Times New Roman" w:hAnsi="Times New Roman"/>
                <w:sz w:val="24"/>
              </w:rPr>
              <w:t>Annex 1 – AIF Details</w:t>
            </w:r>
          </w:p>
        </w:tc>
        <w:tc>
          <w:tcPr>
            <w:tcW w:w="1196" w:type="dxa"/>
            <w:vAlign w:val="center"/>
          </w:tcPr>
          <w:p w14:paraId="720C1E77" w14:textId="77777777" w:rsidR="006427FF" w:rsidRDefault="003A1FB2" w:rsidP="001647D3">
            <w:pPr>
              <w:spacing w:line="276" w:lineRule="auto"/>
              <w:jc w:val="center"/>
              <w:rPr>
                <w:rFonts w:ascii="Times New Roman" w:hAnsi="Times New Roman"/>
                <w:sz w:val="24"/>
              </w:rPr>
            </w:pPr>
            <w:r>
              <w:rPr>
                <w:sz w:val="20"/>
              </w:rPr>
              <w:fldChar w:fldCharType="begin">
                <w:ffData>
                  <w:name w:val="Check1"/>
                  <w:enabled/>
                  <w:calcOnExit w:val="0"/>
                  <w:checkBox>
                    <w:sizeAuto/>
                    <w:default w:val="0"/>
                  </w:checkBox>
                </w:ffData>
              </w:fldChar>
            </w:r>
            <w:r>
              <w:rPr>
                <w:sz w:val="20"/>
              </w:rPr>
              <w:instrText xml:space="preserve"> FORMCHECKBOX </w:instrText>
            </w:r>
            <w:r w:rsidR="000A3E9B">
              <w:rPr>
                <w:sz w:val="20"/>
              </w:rPr>
            </w:r>
            <w:r w:rsidR="000A3E9B">
              <w:rPr>
                <w:sz w:val="20"/>
              </w:rPr>
              <w:fldChar w:fldCharType="separate"/>
            </w:r>
            <w:r>
              <w:rPr>
                <w:sz w:val="20"/>
              </w:rPr>
              <w:fldChar w:fldCharType="end"/>
            </w:r>
          </w:p>
        </w:tc>
      </w:tr>
      <w:tr w:rsidR="006427FF" w14:paraId="2EFDF96B" w14:textId="77777777" w:rsidTr="001647D3">
        <w:tc>
          <w:tcPr>
            <w:tcW w:w="8046" w:type="dxa"/>
          </w:tcPr>
          <w:p w14:paraId="666D9C1B" w14:textId="77777777" w:rsidR="006427FF" w:rsidRPr="001647D3" w:rsidRDefault="003A1FB2" w:rsidP="001647D3">
            <w:pPr>
              <w:pStyle w:val="ListParagraph"/>
              <w:numPr>
                <w:ilvl w:val="0"/>
                <w:numId w:val="6"/>
              </w:numPr>
              <w:spacing w:line="276" w:lineRule="auto"/>
              <w:ind w:left="426" w:hanging="437"/>
              <w:jc w:val="both"/>
              <w:rPr>
                <w:rFonts w:ascii="Times New Roman" w:hAnsi="Times New Roman"/>
                <w:sz w:val="24"/>
              </w:rPr>
            </w:pPr>
            <w:r>
              <w:rPr>
                <w:rFonts w:ascii="Times New Roman" w:hAnsi="Times New Roman"/>
                <w:sz w:val="24"/>
              </w:rPr>
              <w:t xml:space="preserve">Annex 2 – </w:t>
            </w:r>
            <w:r w:rsidRPr="001647D3">
              <w:rPr>
                <w:rFonts w:ascii="Times New Roman" w:hAnsi="Times New Roman"/>
                <w:sz w:val="24"/>
              </w:rPr>
              <w:t>Cross-Reference to documents available to potential investors</w:t>
            </w:r>
          </w:p>
        </w:tc>
        <w:tc>
          <w:tcPr>
            <w:tcW w:w="1196" w:type="dxa"/>
            <w:vAlign w:val="center"/>
          </w:tcPr>
          <w:p w14:paraId="160A94DF" w14:textId="77777777" w:rsidR="006427FF" w:rsidRDefault="003A1FB2" w:rsidP="001647D3">
            <w:pPr>
              <w:spacing w:line="276" w:lineRule="auto"/>
              <w:jc w:val="center"/>
              <w:rPr>
                <w:rFonts w:ascii="Times New Roman" w:hAnsi="Times New Roman"/>
                <w:sz w:val="24"/>
              </w:rPr>
            </w:pPr>
            <w:r>
              <w:rPr>
                <w:sz w:val="20"/>
              </w:rPr>
              <w:fldChar w:fldCharType="begin">
                <w:ffData>
                  <w:name w:val="Check1"/>
                  <w:enabled/>
                  <w:calcOnExit w:val="0"/>
                  <w:checkBox>
                    <w:sizeAuto/>
                    <w:default w:val="0"/>
                  </w:checkBox>
                </w:ffData>
              </w:fldChar>
            </w:r>
            <w:r>
              <w:rPr>
                <w:sz w:val="20"/>
              </w:rPr>
              <w:instrText xml:space="preserve"> FORMCHECKBOX </w:instrText>
            </w:r>
            <w:r w:rsidR="000A3E9B">
              <w:rPr>
                <w:sz w:val="20"/>
              </w:rPr>
            </w:r>
            <w:r w:rsidR="000A3E9B">
              <w:rPr>
                <w:sz w:val="20"/>
              </w:rPr>
              <w:fldChar w:fldCharType="separate"/>
            </w:r>
            <w:r>
              <w:rPr>
                <w:sz w:val="20"/>
              </w:rPr>
              <w:fldChar w:fldCharType="end"/>
            </w:r>
          </w:p>
        </w:tc>
      </w:tr>
      <w:tr w:rsidR="006427FF" w14:paraId="14532E17" w14:textId="77777777" w:rsidTr="001647D3">
        <w:tc>
          <w:tcPr>
            <w:tcW w:w="8046" w:type="dxa"/>
          </w:tcPr>
          <w:p w14:paraId="41258089" w14:textId="71E13C22" w:rsidR="006427FF" w:rsidRPr="007E3A0C" w:rsidRDefault="003A1FB2" w:rsidP="007E3A0C">
            <w:pPr>
              <w:pStyle w:val="ListParagraph"/>
              <w:numPr>
                <w:ilvl w:val="0"/>
                <w:numId w:val="6"/>
              </w:numPr>
              <w:spacing w:line="276" w:lineRule="auto"/>
              <w:ind w:left="426" w:hanging="437"/>
              <w:jc w:val="both"/>
              <w:rPr>
                <w:rFonts w:ascii="Times New Roman" w:hAnsi="Times New Roman"/>
                <w:sz w:val="24"/>
              </w:rPr>
            </w:pPr>
            <w:r w:rsidRPr="007E3A0C">
              <w:rPr>
                <w:rFonts w:ascii="Times New Roman" w:hAnsi="Times New Roman"/>
                <w:sz w:val="24"/>
              </w:rPr>
              <w:t>Copies of the AIF Prospectus/ Offering Supplement/ PPM as disclosed in Annex 2 (in electronic file format)</w:t>
            </w:r>
          </w:p>
          <w:p w14:paraId="56C0E175" w14:textId="77777777" w:rsidR="007E3A0C" w:rsidRPr="00146058" w:rsidRDefault="007E3A0C" w:rsidP="007E3A0C">
            <w:pPr>
              <w:pStyle w:val="ListParagraph"/>
              <w:numPr>
                <w:ilvl w:val="0"/>
                <w:numId w:val="6"/>
              </w:numPr>
              <w:spacing w:line="276" w:lineRule="auto"/>
              <w:ind w:left="426" w:hanging="437"/>
              <w:jc w:val="both"/>
              <w:rPr>
                <w:rFonts w:ascii="Times New Roman" w:hAnsi="Times New Roman"/>
                <w:sz w:val="24"/>
              </w:rPr>
            </w:pPr>
            <w:r w:rsidRPr="00146058">
              <w:rPr>
                <w:rFonts w:ascii="Times New Roman" w:hAnsi="Times New Roman"/>
                <w:sz w:val="24"/>
              </w:rPr>
              <w:t>Any additional information referred to in Article 23(1) of Directive 2011/61/EU for each AIF the AIFM intends to market (Paragraph (f) of Annex IV)</w:t>
            </w:r>
          </w:p>
          <w:p w14:paraId="60563F82" w14:textId="2878E63D" w:rsidR="007E3A0C" w:rsidRPr="001647D3" w:rsidRDefault="007E3A0C" w:rsidP="007E3A0C">
            <w:pPr>
              <w:pStyle w:val="ListParagraph"/>
              <w:spacing w:line="276" w:lineRule="auto"/>
              <w:jc w:val="both"/>
              <w:rPr>
                <w:rFonts w:ascii="Times New Roman" w:hAnsi="Times New Roman"/>
                <w:sz w:val="24"/>
              </w:rPr>
            </w:pPr>
          </w:p>
        </w:tc>
        <w:tc>
          <w:tcPr>
            <w:tcW w:w="1196" w:type="dxa"/>
            <w:vAlign w:val="center"/>
          </w:tcPr>
          <w:p w14:paraId="67CF3C8F" w14:textId="77777777" w:rsidR="006427FF" w:rsidRDefault="003A1FB2" w:rsidP="001647D3">
            <w:pPr>
              <w:spacing w:line="276" w:lineRule="auto"/>
              <w:jc w:val="center"/>
              <w:rPr>
                <w:rFonts w:ascii="Times New Roman" w:hAnsi="Times New Roman"/>
                <w:sz w:val="24"/>
              </w:rPr>
            </w:pPr>
            <w:r>
              <w:rPr>
                <w:sz w:val="20"/>
              </w:rPr>
              <w:fldChar w:fldCharType="begin">
                <w:ffData>
                  <w:name w:val="Check1"/>
                  <w:enabled/>
                  <w:calcOnExit w:val="0"/>
                  <w:checkBox>
                    <w:sizeAuto/>
                    <w:default w:val="0"/>
                  </w:checkBox>
                </w:ffData>
              </w:fldChar>
            </w:r>
            <w:r>
              <w:rPr>
                <w:sz w:val="20"/>
              </w:rPr>
              <w:instrText xml:space="preserve"> FORMCHECKBOX </w:instrText>
            </w:r>
            <w:r w:rsidR="000A3E9B">
              <w:rPr>
                <w:sz w:val="20"/>
              </w:rPr>
            </w:r>
            <w:r w:rsidR="000A3E9B">
              <w:rPr>
                <w:sz w:val="20"/>
              </w:rPr>
              <w:fldChar w:fldCharType="separate"/>
            </w:r>
            <w:r>
              <w:rPr>
                <w:sz w:val="20"/>
              </w:rPr>
              <w:fldChar w:fldCharType="end"/>
            </w:r>
          </w:p>
        </w:tc>
      </w:tr>
    </w:tbl>
    <w:p w14:paraId="561BF0A9" w14:textId="77777777" w:rsidR="00831B78" w:rsidRDefault="000A3E9B" w:rsidP="00831B78">
      <w:pPr>
        <w:spacing w:line="276" w:lineRule="auto"/>
        <w:jc w:val="both"/>
        <w:rPr>
          <w:rFonts w:ascii="Times New Roman" w:hAnsi="Times New Roman"/>
          <w:sz w:val="24"/>
        </w:rPr>
      </w:pPr>
    </w:p>
    <w:p w14:paraId="08EC681A" w14:textId="77777777" w:rsidR="00291FB0" w:rsidRPr="00291FB0" w:rsidRDefault="000A3E9B">
      <w:pPr>
        <w:jc w:val="both"/>
        <w:rPr>
          <w:rFonts w:ascii="Times New Roman" w:hAnsi="Times New Roman"/>
          <w:sz w:val="24"/>
        </w:rPr>
      </w:pPr>
    </w:p>
    <w:sectPr w:rsidR="00291FB0" w:rsidRPr="00291FB0" w:rsidSect="001647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A233" w14:textId="77777777" w:rsidR="004C5E13" w:rsidRDefault="004C5E13">
      <w:r>
        <w:separator/>
      </w:r>
    </w:p>
  </w:endnote>
  <w:endnote w:type="continuationSeparator" w:id="0">
    <w:p w14:paraId="7138AD02" w14:textId="77777777" w:rsidR="004C5E13" w:rsidRDefault="004C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FFC" w14:textId="77777777" w:rsidR="009A12E5" w:rsidRDefault="000A3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FC5D" w14:textId="77777777" w:rsidR="009A12E5" w:rsidRDefault="000A3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7B4D" w14:textId="77777777" w:rsidR="009A12E5" w:rsidRDefault="000A3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8529" w14:textId="77777777" w:rsidR="004C5E13" w:rsidRDefault="004C5E13">
      <w:r>
        <w:separator/>
      </w:r>
    </w:p>
  </w:footnote>
  <w:footnote w:type="continuationSeparator" w:id="0">
    <w:p w14:paraId="334CE1B6" w14:textId="77777777" w:rsidR="004C5E13" w:rsidRDefault="004C5E13">
      <w:r>
        <w:continuationSeparator/>
      </w:r>
    </w:p>
  </w:footnote>
  <w:footnote w:id="1">
    <w:p w14:paraId="1EE7689C" w14:textId="77777777" w:rsidR="00E45BFA" w:rsidRDefault="00E45BFA">
      <w:pPr>
        <w:pStyle w:val="FootnoteText"/>
      </w:pPr>
      <w:r>
        <w:rPr>
          <w:rStyle w:val="FootnoteReference"/>
        </w:rPr>
        <w:footnoteRef/>
      </w:r>
      <w:r>
        <w:t xml:space="preserve"> If the AIF takes the form of an umbrella AIF with multiple compartments, AIFMs should only indicate the name of the sub-funds/compartments of the umbrella AIF notified for marketing. AIFMs should not indicate the name of the umbrella AIF.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5FA7" w14:textId="77777777" w:rsidR="009A12E5" w:rsidRDefault="000A3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CC37" w14:textId="77777777" w:rsidR="003408FA" w:rsidRDefault="000A3E9B" w:rsidP="00F62BB6">
    <w:pPr>
      <w:pStyle w:val="Header"/>
      <w:jc w:val="center"/>
    </w:pPr>
  </w:p>
  <w:p w14:paraId="6BEA402E" w14:textId="77777777" w:rsidR="003408FA" w:rsidRDefault="000A3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CBF2" w14:textId="77777777" w:rsidR="009A12E5" w:rsidRDefault="000A3E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86CA" w14:textId="77777777" w:rsidR="00831B78" w:rsidRDefault="000A3E9B" w:rsidP="00F62BB6">
    <w:pPr>
      <w:pStyle w:val="Header"/>
      <w:jc w:val="center"/>
    </w:pPr>
  </w:p>
  <w:p w14:paraId="1884E008" w14:textId="77777777" w:rsidR="00831B78" w:rsidRDefault="000A3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3B07"/>
    <w:multiLevelType w:val="hybridMultilevel"/>
    <w:tmpl w:val="965001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4D3FCA"/>
    <w:multiLevelType w:val="hybridMultilevel"/>
    <w:tmpl w:val="B852C7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179F2"/>
    <w:multiLevelType w:val="hybridMultilevel"/>
    <w:tmpl w:val="362C9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261A85"/>
    <w:multiLevelType w:val="hybridMultilevel"/>
    <w:tmpl w:val="AE822CC2"/>
    <w:lvl w:ilvl="0" w:tplc="5FBAFED4">
      <w:start w:val="1"/>
      <w:numFmt w:val="decimal"/>
      <w:pStyle w:val="04aNumeration"/>
      <w:lvlText w:val="%1."/>
      <w:lvlJc w:val="left"/>
      <w:pPr>
        <w:tabs>
          <w:tab w:val="num" w:pos="284"/>
        </w:tabs>
        <w:ind w:left="284" w:hanging="284"/>
      </w:pPr>
      <w:rPr>
        <w:rFonts w:ascii="Georgia" w:hAnsi="Georgia" w:hint="default"/>
        <w:b w:val="0"/>
        <w:sz w:val="20"/>
      </w:rPr>
    </w:lvl>
    <w:lvl w:ilvl="1" w:tplc="CF12A106">
      <w:start w:val="1"/>
      <w:numFmt w:val="upp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5DB40E2C"/>
    <w:multiLevelType w:val="hybridMultilevel"/>
    <w:tmpl w:val="674A0674"/>
    <w:lvl w:ilvl="0" w:tplc="A8DCA9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720511"/>
    <w:multiLevelType w:val="hybridMultilevel"/>
    <w:tmpl w:val="BA1E9D84"/>
    <w:lvl w:ilvl="0" w:tplc="0809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74121DA0"/>
    <w:multiLevelType w:val="hybridMultilevel"/>
    <w:tmpl w:val="057CD5D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8680C"/>
    <w:multiLevelType w:val="hybridMultilevel"/>
    <w:tmpl w:val="E21E3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0"/>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2Vdi9htVwsp35kxHa/v1gY9zFCRsD7ecAvXziNI5f0lRddY+eGqYVPgRCrttS/PO6wjKmoKRAQGBXr8yb/tDw==" w:salt="Dgid4MtVr5SyNKzkMV6tD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D0"/>
    <w:rsid w:val="000A3E9B"/>
    <w:rsid w:val="00146058"/>
    <w:rsid w:val="003450AF"/>
    <w:rsid w:val="003507DE"/>
    <w:rsid w:val="003A1FB2"/>
    <w:rsid w:val="004C5E13"/>
    <w:rsid w:val="00594AE5"/>
    <w:rsid w:val="007E3A0C"/>
    <w:rsid w:val="0093292C"/>
    <w:rsid w:val="009569D0"/>
    <w:rsid w:val="00BA0A5F"/>
    <w:rsid w:val="00D16DA1"/>
    <w:rsid w:val="00DD07D7"/>
    <w:rsid w:val="00E45BFA"/>
    <w:rsid w:val="00E73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4FC9B"/>
  <w15:docId w15:val="{49C973F6-C991-41A4-B4CB-61AA2730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BB6"/>
    <w:rPr>
      <w:rFonts w:ascii="Georgia" w:eastAsia="Times New Roman" w:hAnsi="Georgia"/>
      <w:sz w:val="22"/>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2BB6"/>
    <w:pPr>
      <w:spacing w:line="200" w:lineRule="exact"/>
    </w:pPr>
    <w:rPr>
      <w:sz w:val="16"/>
      <w:szCs w:val="20"/>
    </w:rPr>
  </w:style>
  <w:style w:type="character" w:customStyle="1" w:styleId="FootnoteTextChar">
    <w:name w:val="Footnote Text Char"/>
    <w:link w:val="FootnoteText"/>
    <w:uiPriority w:val="99"/>
    <w:semiHidden/>
    <w:rsid w:val="00F62BB6"/>
    <w:rPr>
      <w:rFonts w:ascii="Georgia" w:eastAsia="Times New Roman" w:hAnsi="Georgia" w:cs="Times New Roman"/>
      <w:sz w:val="16"/>
      <w:szCs w:val="20"/>
      <w:lang w:eastAsia="de-DE"/>
    </w:rPr>
  </w:style>
  <w:style w:type="paragraph" w:customStyle="1" w:styleId="04aNumeration">
    <w:name w:val="04a_Numeration"/>
    <w:basedOn w:val="Normal"/>
    <w:uiPriority w:val="99"/>
    <w:rsid w:val="00F62BB6"/>
    <w:pPr>
      <w:numPr>
        <w:numId w:val="1"/>
      </w:numPr>
      <w:spacing w:after="250" w:line="276" w:lineRule="auto"/>
      <w:jc w:val="both"/>
    </w:pPr>
    <w:rPr>
      <w:sz w:val="20"/>
    </w:rPr>
  </w:style>
  <w:style w:type="character" w:styleId="FootnoteReference">
    <w:name w:val="footnote reference"/>
    <w:uiPriority w:val="99"/>
    <w:semiHidden/>
    <w:unhideWhenUsed/>
    <w:rsid w:val="00F62BB6"/>
    <w:rPr>
      <w:vertAlign w:val="superscript"/>
    </w:rPr>
  </w:style>
  <w:style w:type="paragraph" w:styleId="Header">
    <w:name w:val="header"/>
    <w:basedOn w:val="Normal"/>
    <w:link w:val="HeaderChar"/>
    <w:uiPriority w:val="99"/>
    <w:unhideWhenUsed/>
    <w:rsid w:val="00F62BB6"/>
    <w:pPr>
      <w:tabs>
        <w:tab w:val="center" w:pos="4513"/>
        <w:tab w:val="right" w:pos="9026"/>
      </w:tabs>
    </w:pPr>
  </w:style>
  <w:style w:type="character" w:customStyle="1" w:styleId="HeaderChar">
    <w:name w:val="Header Char"/>
    <w:link w:val="Header"/>
    <w:uiPriority w:val="99"/>
    <w:rsid w:val="00F62BB6"/>
    <w:rPr>
      <w:rFonts w:ascii="Georgia" w:eastAsia="Times New Roman" w:hAnsi="Georgia" w:cs="Times New Roman"/>
      <w:szCs w:val="24"/>
      <w:lang w:eastAsia="de-DE"/>
    </w:rPr>
  </w:style>
  <w:style w:type="paragraph" w:styleId="Footer">
    <w:name w:val="footer"/>
    <w:basedOn w:val="Normal"/>
    <w:link w:val="FooterChar"/>
    <w:uiPriority w:val="99"/>
    <w:unhideWhenUsed/>
    <w:rsid w:val="00F62BB6"/>
    <w:pPr>
      <w:tabs>
        <w:tab w:val="center" w:pos="4513"/>
        <w:tab w:val="right" w:pos="9026"/>
      </w:tabs>
    </w:pPr>
  </w:style>
  <w:style w:type="character" w:customStyle="1" w:styleId="FooterChar">
    <w:name w:val="Footer Char"/>
    <w:link w:val="Footer"/>
    <w:uiPriority w:val="99"/>
    <w:rsid w:val="00F62BB6"/>
    <w:rPr>
      <w:rFonts w:ascii="Georgia" w:eastAsia="Times New Roman" w:hAnsi="Georgia" w:cs="Times New Roman"/>
      <w:szCs w:val="24"/>
      <w:lang w:eastAsia="de-DE"/>
    </w:rPr>
  </w:style>
  <w:style w:type="paragraph" w:styleId="BalloonText">
    <w:name w:val="Balloon Text"/>
    <w:basedOn w:val="Normal"/>
    <w:link w:val="BalloonTextChar"/>
    <w:uiPriority w:val="99"/>
    <w:semiHidden/>
    <w:unhideWhenUsed/>
    <w:rsid w:val="00F62BB6"/>
    <w:rPr>
      <w:rFonts w:ascii="Tahoma" w:hAnsi="Tahoma" w:cs="Tahoma"/>
      <w:sz w:val="16"/>
      <w:szCs w:val="16"/>
    </w:rPr>
  </w:style>
  <w:style w:type="character" w:customStyle="1" w:styleId="BalloonTextChar">
    <w:name w:val="Balloon Text Char"/>
    <w:link w:val="BalloonText"/>
    <w:uiPriority w:val="99"/>
    <w:semiHidden/>
    <w:rsid w:val="00F62BB6"/>
    <w:rPr>
      <w:rFonts w:ascii="Tahoma" w:eastAsia="Times New Roman" w:hAnsi="Tahoma" w:cs="Tahoma"/>
      <w:sz w:val="16"/>
      <w:szCs w:val="16"/>
      <w:lang w:eastAsia="de-DE"/>
    </w:rPr>
  </w:style>
  <w:style w:type="table" w:styleId="TableGrid">
    <w:name w:val="Table Grid"/>
    <w:basedOn w:val="TableNormal"/>
    <w:uiPriority w:val="59"/>
    <w:rsid w:val="002E2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145C2"/>
    <w:rPr>
      <w:sz w:val="16"/>
      <w:szCs w:val="16"/>
    </w:rPr>
  </w:style>
  <w:style w:type="paragraph" w:styleId="CommentText">
    <w:name w:val="annotation text"/>
    <w:basedOn w:val="Normal"/>
    <w:link w:val="CommentTextChar"/>
    <w:uiPriority w:val="99"/>
    <w:semiHidden/>
    <w:unhideWhenUsed/>
    <w:rsid w:val="006145C2"/>
    <w:rPr>
      <w:sz w:val="20"/>
      <w:szCs w:val="20"/>
    </w:rPr>
  </w:style>
  <w:style w:type="character" w:customStyle="1" w:styleId="CommentTextChar">
    <w:name w:val="Comment Text Char"/>
    <w:link w:val="CommentText"/>
    <w:uiPriority w:val="99"/>
    <w:semiHidden/>
    <w:rsid w:val="006145C2"/>
    <w:rPr>
      <w:rFonts w:ascii="Georgia" w:eastAsia="Times New Roman" w:hAnsi="Georgia"/>
      <w:lang w:eastAsia="de-DE"/>
    </w:rPr>
  </w:style>
  <w:style w:type="paragraph" w:styleId="CommentSubject">
    <w:name w:val="annotation subject"/>
    <w:basedOn w:val="CommentText"/>
    <w:next w:val="CommentText"/>
    <w:link w:val="CommentSubjectChar"/>
    <w:uiPriority w:val="99"/>
    <w:semiHidden/>
    <w:unhideWhenUsed/>
    <w:rsid w:val="006145C2"/>
    <w:rPr>
      <w:b/>
      <w:bCs/>
    </w:rPr>
  </w:style>
  <w:style w:type="character" w:customStyle="1" w:styleId="CommentSubjectChar">
    <w:name w:val="Comment Subject Char"/>
    <w:link w:val="CommentSubject"/>
    <w:uiPriority w:val="99"/>
    <w:semiHidden/>
    <w:rsid w:val="006145C2"/>
    <w:rPr>
      <w:rFonts w:ascii="Georgia" w:eastAsia="Times New Roman" w:hAnsi="Georgia"/>
      <w:b/>
      <w:bCs/>
      <w:lang w:eastAsia="de-DE"/>
    </w:rPr>
  </w:style>
  <w:style w:type="character" w:styleId="Hyperlink">
    <w:name w:val="Hyperlink"/>
    <w:basedOn w:val="DefaultParagraphFont"/>
    <w:uiPriority w:val="99"/>
    <w:unhideWhenUsed/>
    <w:rsid w:val="00536DFA"/>
    <w:rPr>
      <w:color w:val="0000FF" w:themeColor="hyperlink"/>
      <w:u w:val="single"/>
    </w:rPr>
  </w:style>
  <w:style w:type="paragraph" w:styleId="ListParagraph">
    <w:name w:val="List Paragraph"/>
    <w:aliases w:val="Normal Nivel 1,List Paragraph Main,List first level,Paragraphe EI,Paragraphe de liste1,EC,Dot pt,List Paragraph1,Colorful List - Accent 11,No Spacing1,List Paragraph Char Char Char,Indicator Text,Numbered Para 1,Bullet 1,F5 List Paragraph"/>
    <w:basedOn w:val="Normal"/>
    <w:link w:val="ListParagraphChar"/>
    <w:uiPriority w:val="34"/>
    <w:qFormat/>
    <w:rsid w:val="001F376D"/>
    <w:pPr>
      <w:ind w:left="720"/>
      <w:contextualSpacing/>
    </w:pPr>
  </w:style>
  <w:style w:type="character" w:styleId="PlaceholderText">
    <w:name w:val="Placeholder Text"/>
    <w:basedOn w:val="DefaultParagraphFont"/>
    <w:uiPriority w:val="99"/>
    <w:semiHidden/>
    <w:rsid w:val="000F3BB5"/>
    <w:rPr>
      <w:color w:val="808080"/>
    </w:rPr>
  </w:style>
  <w:style w:type="character" w:styleId="UnresolvedMention">
    <w:name w:val="Unresolved Mention"/>
    <w:basedOn w:val="DefaultParagraphFont"/>
    <w:uiPriority w:val="99"/>
    <w:semiHidden/>
    <w:unhideWhenUsed/>
    <w:rsid w:val="003A1FB2"/>
    <w:rPr>
      <w:color w:val="605E5C"/>
      <w:shd w:val="clear" w:color="auto" w:fill="E1DFDD"/>
    </w:rPr>
  </w:style>
  <w:style w:type="character" w:customStyle="1" w:styleId="ListParagraphChar">
    <w:name w:val="List Paragraph Char"/>
    <w:aliases w:val="Normal Nivel 1 Char,List Paragraph Main Char,List first level Char,Paragraphe EI Char,Paragraphe de liste1 Char,EC Char,Dot pt Char,List Paragraph1 Char,Colorful List - Accent 11 Char,No Spacing1 Char,Indicator Text Char"/>
    <w:link w:val="ListParagraph"/>
    <w:uiPriority w:val="34"/>
    <w:qFormat/>
    <w:locked/>
    <w:rsid w:val="007E3A0C"/>
    <w:rPr>
      <w:rFonts w:ascii="Georgia" w:eastAsia="Times New Roman" w:hAnsi="Georgia"/>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07423">
      <w:bodyDiv w:val="1"/>
      <w:marLeft w:val="0"/>
      <w:marRight w:val="0"/>
      <w:marTop w:val="0"/>
      <w:marBottom w:val="0"/>
      <w:divBdr>
        <w:top w:val="none" w:sz="0" w:space="0" w:color="auto"/>
        <w:left w:val="none" w:sz="0" w:space="0" w:color="auto"/>
        <w:bottom w:val="none" w:sz="0" w:space="0" w:color="auto"/>
        <w:right w:val="none" w:sz="0" w:space="0" w:color="auto"/>
      </w:divBdr>
    </w:div>
    <w:div w:id="20923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fmdnotifications@mfsa.m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E0715-36EC-49A9-81A4-B3C43D65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Agius</dc:creator>
  <cp:lastModifiedBy>Tiziana Galea</cp:lastModifiedBy>
  <cp:revision>2</cp:revision>
  <cp:lastPrinted>2021-09-02T11:38:00Z</cp:lastPrinted>
  <dcterms:created xsi:type="dcterms:W3CDTF">2021-09-02T12:09:00Z</dcterms:created>
  <dcterms:modified xsi:type="dcterms:W3CDTF">2021-09-02T12:09:00Z</dcterms:modified>
</cp:coreProperties>
</file>