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572089043"/>
        <w:docPartObj>
          <w:docPartGallery w:val="Cover Pages"/>
          <w:docPartUnique/>
        </w:docPartObj>
      </w:sdtPr>
      <w:sdtEndPr>
        <w:rPr>
          <w:rFonts w:ascii="Times New Roman" w:eastAsia="Times New Roman" w:hAnsi="Times New Roman" w:cs="Times New Roman"/>
          <w:kern w:val="24"/>
        </w:rPr>
      </w:sdtEndPr>
      <w:sdtContent>
        <w:bookmarkStart w:id="0" w:name="_GoBack" w:displacedByCustomXml="prev"/>
        <w:bookmarkEnd w:id="0" w:displacedByCustomXml="prev"/>
        <w:p w:rsidR="00D1124F" w:rsidRDefault="00D1124F" w:rsidP="00D1124F">
          <w:pPr>
            <w:jc w:val="center"/>
          </w:pPr>
          <w:r w:rsidRPr="00C974DF">
            <w:rPr>
              <w:noProof/>
              <w:lang w:eastAsia="en-GB"/>
            </w:rPr>
            <w:drawing>
              <wp:inline distT="0" distB="0" distL="0" distR="0" wp14:anchorId="1FEDCAE8" wp14:editId="008DF7E2">
                <wp:extent cx="3350362" cy="664157"/>
                <wp:effectExtent l="0" t="0" r="2540" b="3175"/>
                <wp:docPr id="1" name="Picture 1" descr="MFSC - MFSA Logo1"/>
                <wp:cNvGraphicFramePr/>
                <a:graphic xmlns:a="http://schemas.openxmlformats.org/drawingml/2006/main">
                  <a:graphicData uri="http://schemas.openxmlformats.org/drawingml/2006/picture">
                    <pic:pic xmlns:pic="http://schemas.openxmlformats.org/drawingml/2006/picture">
                      <pic:nvPicPr>
                        <pic:cNvPr id="1" name="Picture 1" descr="MFSC - MFSA Logo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29191" cy="679784"/>
                        </a:xfrm>
                        <a:prstGeom prst="rect">
                          <a:avLst/>
                        </a:prstGeom>
                        <a:noFill/>
                        <a:ln>
                          <a:noFill/>
                        </a:ln>
                      </pic:spPr>
                    </pic:pic>
                  </a:graphicData>
                </a:graphic>
              </wp:inline>
            </w:drawing>
          </w:r>
        </w:p>
        <w:p w:rsidR="00D1124F" w:rsidRDefault="00D1124F" w:rsidP="00D1124F">
          <w:pPr>
            <w:jc w:val="center"/>
          </w:pPr>
        </w:p>
        <w:p w:rsidR="00D1124F" w:rsidRDefault="00D1124F" w:rsidP="00D1124F">
          <w:pPr>
            <w:jc w:val="center"/>
          </w:pPr>
        </w:p>
        <w:p w:rsidR="00D1124F" w:rsidRDefault="00D1124F" w:rsidP="00D1124F">
          <w:pPr>
            <w:jc w:val="center"/>
          </w:pPr>
        </w:p>
        <w:p w:rsidR="00D1124F" w:rsidRPr="00C974DF" w:rsidRDefault="00D1124F" w:rsidP="00D1124F">
          <w:pPr>
            <w:jc w:val="center"/>
            <w:rPr>
              <w:rFonts w:ascii="Times New Roman" w:hAnsi="Times New Roman" w:cs="Times New Roman"/>
              <w:b/>
              <w:smallCaps/>
              <w:sz w:val="40"/>
              <w:szCs w:val="40"/>
            </w:rPr>
          </w:pPr>
          <w:r w:rsidRPr="00C974DF">
            <w:rPr>
              <w:rFonts w:ascii="Times New Roman" w:hAnsi="Times New Roman" w:cs="Times New Roman"/>
              <w:b/>
              <w:smallCaps/>
              <w:sz w:val="40"/>
              <w:szCs w:val="40"/>
            </w:rPr>
            <w:t xml:space="preserve">Investment Services Rules for </w:t>
          </w:r>
        </w:p>
        <w:p w:rsidR="00D1124F" w:rsidRDefault="00D1124F" w:rsidP="00D1124F">
          <w:pPr>
            <w:jc w:val="center"/>
            <w:rPr>
              <w:rFonts w:ascii="Times New Roman" w:hAnsi="Times New Roman" w:cs="Times New Roman"/>
              <w:b/>
              <w:smallCaps/>
              <w:sz w:val="40"/>
              <w:szCs w:val="40"/>
            </w:rPr>
          </w:pPr>
          <w:r>
            <w:rPr>
              <w:rFonts w:ascii="Times New Roman" w:hAnsi="Times New Roman" w:cs="Times New Roman"/>
              <w:b/>
              <w:smallCaps/>
              <w:sz w:val="40"/>
              <w:szCs w:val="40"/>
            </w:rPr>
            <w:t>Alternative Investment Funds</w:t>
          </w:r>
        </w:p>
        <w:p w:rsidR="00496921" w:rsidRDefault="00496921" w:rsidP="00D1124F">
          <w:pPr>
            <w:jc w:val="center"/>
            <w:rPr>
              <w:rFonts w:ascii="Times New Roman" w:hAnsi="Times New Roman" w:cs="Times New Roman"/>
              <w:b/>
              <w:smallCaps/>
              <w:sz w:val="40"/>
              <w:szCs w:val="40"/>
            </w:rPr>
          </w:pPr>
        </w:p>
        <w:p w:rsidR="00496921" w:rsidRDefault="00496921" w:rsidP="00D1124F">
          <w:pPr>
            <w:jc w:val="center"/>
            <w:rPr>
              <w:rFonts w:ascii="Times New Roman" w:hAnsi="Times New Roman" w:cs="Times New Roman"/>
              <w:b/>
              <w:smallCaps/>
              <w:sz w:val="40"/>
              <w:szCs w:val="40"/>
            </w:rPr>
          </w:pPr>
          <w:r>
            <w:rPr>
              <w:rFonts w:ascii="Times New Roman" w:hAnsi="Times New Roman" w:cs="Times New Roman"/>
              <w:b/>
              <w:smallCaps/>
              <w:sz w:val="40"/>
              <w:szCs w:val="40"/>
            </w:rPr>
            <w:pict>
              <v:rect id="_x0000_i1025" style="width:0;height:1.5pt" o:hralign="center" o:hrstd="t" o:hr="t" fillcolor="#a0a0a0" stroked="f"/>
            </w:pict>
          </w:r>
        </w:p>
        <w:p w:rsidR="00496921" w:rsidRDefault="00496921" w:rsidP="00D1124F">
          <w:pPr>
            <w:jc w:val="center"/>
            <w:rPr>
              <w:rFonts w:ascii="Times New Roman Bold" w:hAnsi="Times New Roman Bold" w:cs="Times New Roman"/>
              <w:b/>
              <w:sz w:val="40"/>
              <w:szCs w:val="40"/>
            </w:rPr>
          </w:pPr>
          <w:r>
            <w:rPr>
              <w:rFonts w:ascii="Times New Roman Bold" w:hAnsi="Times New Roman Bold" w:cs="Times New Roman"/>
              <w:b/>
              <w:sz w:val="40"/>
              <w:szCs w:val="40"/>
            </w:rPr>
            <w:t xml:space="preserve">Checklist </w:t>
          </w:r>
        </w:p>
        <w:p w:rsidR="00496921" w:rsidRDefault="00496921" w:rsidP="00D1124F">
          <w:pPr>
            <w:jc w:val="center"/>
            <w:rPr>
              <w:rFonts w:ascii="Times New Roman Bold" w:hAnsi="Times New Roman Bold" w:cs="Times New Roman"/>
              <w:b/>
              <w:sz w:val="40"/>
              <w:szCs w:val="40"/>
            </w:rPr>
          </w:pPr>
          <w:r>
            <w:rPr>
              <w:rFonts w:ascii="Times New Roman Bold" w:hAnsi="Times New Roman Bold" w:cs="Times New Roman"/>
              <w:b/>
              <w:sz w:val="40"/>
              <w:szCs w:val="40"/>
            </w:rPr>
            <w:t>Offering Memorandum &amp; Offering Supplements</w:t>
          </w:r>
        </w:p>
        <w:p w:rsidR="00496921" w:rsidRDefault="00496921" w:rsidP="00D1124F">
          <w:pPr>
            <w:jc w:val="center"/>
            <w:rPr>
              <w:rFonts w:ascii="Times New Roman" w:hAnsi="Times New Roman" w:cs="Times New Roman"/>
              <w:b/>
              <w:smallCaps/>
              <w:sz w:val="40"/>
              <w:szCs w:val="40"/>
            </w:rPr>
          </w:pPr>
          <w:r>
            <w:rPr>
              <w:rFonts w:ascii="Times New Roman" w:hAnsi="Times New Roman" w:cs="Times New Roman"/>
              <w:b/>
              <w:smallCaps/>
              <w:sz w:val="40"/>
              <w:szCs w:val="40"/>
            </w:rPr>
            <w:pict>
              <v:rect id="_x0000_i1026" style="width:0;height:1.5pt" o:hralign="center" o:hrstd="t" o:hr="t" fillcolor="#a0a0a0" stroked="f"/>
            </w:pict>
          </w:r>
        </w:p>
        <w:p w:rsidR="00496921" w:rsidRDefault="00496921" w:rsidP="00D1124F">
          <w:pPr>
            <w:jc w:val="center"/>
            <w:rPr>
              <w:rFonts w:ascii="Times New Roman" w:hAnsi="Times New Roman" w:cs="Times New Roman"/>
              <w:b/>
              <w:smallCaps/>
              <w:sz w:val="40"/>
              <w:szCs w:val="40"/>
            </w:rPr>
          </w:pPr>
        </w:p>
        <w:p w:rsidR="00496921" w:rsidRDefault="00496921" w:rsidP="00D1124F">
          <w:pPr>
            <w:jc w:val="center"/>
            <w:rPr>
              <w:rFonts w:ascii="Times New Roman" w:hAnsi="Times New Roman" w:cs="Times New Roman"/>
              <w:b/>
              <w:smallCaps/>
              <w:sz w:val="40"/>
              <w:szCs w:val="40"/>
            </w:rPr>
          </w:pPr>
        </w:p>
        <w:p w:rsidR="00496921" w:rsidRDefault="00496921" w:rsidP="00D1124F">
          <w:pPr>
            <w:jc w:val="center"/>
            <w:rPr>
              <w:rFonts w:ascii="Times New Roman" w:hAnsi="Times New Roman" w:cs="Times New Roman"/>
              <w:b/>
              <w:smallCaps/>
              <w:sz w:val="40"/>
              <w:szCs w:val="40"/>
            </w:rPr>
          </w:pPr>
        </w:p>
        <w:p w:rsidR="00496921" w:rsidRDefault="00496921" w:rsidP="00D1124F">
          <w:pPr>
            <w:jc w:val="center"/>
            <w:rPr>
              <w:rFonts w:ascii="Times New Roman" w:hAnsi="Times New Roman" w:cs="Times New Roman"/>
              <w:b/>
              <w:smallCaps/>
              <w:sz w:val="40"/>
              <w:szCs w:val="40"/>
            </w:rPr>
          </w:pPr>
        </w:p>
        <w:p w:rsidR="00496921" w:rsidRDefault="00496921" w:rsidP="00D1124F">
          <w:pPr>
            <w:jc w:val="center"/>
            <w:rPr>
              <w:rFonts w:ascii="Times New Roman" w:hAnsi="Times New Roman" w:cs="Times New Roman"/>
              <w:b/>
              <w:smallCaps/>
              <w:sz w:val="40"/>
              <w:szCs w:val="40"/>
            </w:rPr>
          </w:pPr>
        </w:p>
        <w:p w:rsidR="00496921" w:rsidRDefault="00496921" w:rsidP="00D1124F">
          <w:pPr>
            <w:jc w:val="center"/>
            <w:rPr>
              <w:rFonts w:ascii="Times New Roman" w:hAnsi="Times New Roman" w:cs="Times New Roman"/>
              <w:b/>
              <w:smallCaps/>
              <w:sz w:val="40"/>
              <w:szCs w:val="40"/>
            </w:rPr>
          </w:pPr>
        </w:p>
        <w:tbl>
          <w:tblPr>
            <w:tblStyle w:val="TableGrid"/>
            <w:tblW w:w="0" w:type="auto"/>
            <w:tblLook w:val="04A0" w:firstRow="1" w:lastRow="0" w:firstColumn="1" w:lastColumn="0" w:noHBand="0" w:noVBand="1"/>
          </w:tblPr>
          <w:tblGrid>
            <w:gridCol w:w="2346"/>
            <w:gridCol w:w="6670"/>
          </w:tblGrid>
          <w:tr w:rsidR="00496921" w:rsidRPr="00C974DF" w:rsidTr="00090B9F">
            <w:tc>
              <w:tcPr>
                <w:tcW w:w="2376" w:type="dxa"/>
              </w:tcPr>
              <w:p w:rsidR="00496921" w:rsidRPr="00C974DF" w:rsidRDefault="00496921" w:rsidP="00090B9F">
                <w:pPr>
                  <w:jc w:val="both"/>
                  <w:rPr>
                    <w:rFonts w:ascii="Times New Roman Bold" w:hAnsi="Times New Roman Bold" w:cs="Times New Roman"/>
                    <w:b/>
                    <w:sz w:val="24"/>
                    <w:szCs w:val="24"/>
                  </w:rPr>
                </w:pPr>
                <w:r w:rsidRPr="00C974DF">
                  <w:rPr>
                    <w:rFonts w:ascii="Times New Roman Bold" w:hAnsi="Times New Roman Bold" w:cs="Times New Roman"/>
                    <w:b/>
                    <w:sz w:val="24"/>
                    <w:szCs w:val="24"/>
                  </w:rPr>
                  <w:t>Name of applicant</w:t>
                </w:r>
              </w:p>
            </w:tc>
            <w:tc>
              <w:tcPr>
                <w:tcW w:w="6866" w:type="dxa"/>
              </w:tcPr>
              <w:p w:rsidR="00496921" w:rsidRPr="00C974DF" w:rsidRDefault="00496921" w:rsidP="00090B9F">
                <w:pPr>
                  <w:rPr>
                    <w:rFonts w:ascii="Times New Roman Bold" w:hAnsi="Times New Roman Bold" w:cs="Times New Roman"/>
                    <w:b/>
                    <w:sz w:val="40"/>
                    <w:szCs w:val="40"/>
                  </w:rPr>
                </w:pPr>
              </w:p>
            </w:tc>
          </w:tr>
          <w:tr w:rsidR="00496921" w:rsidRPr="00C974DF" w:rsidTr="00090B9F">
            <w:tc>
              <w:tcPr>
                <w:tcW w:w="2376" w:type="dxa"/>
              </w:tcPr>
              <w:p w:rsidR="00496921" w:rsidRPr="00C974DF" w:rsidRDefault="00496921" w:rsidP="00496921">
                <w:pPr>
                  <w:jc w:val="both"/>
                  <w:rPr>
                    <w:rFonts w:ascii="Times New Roman Bold" w:hAnsi="Times New Roman Bold" w:cs="Times New Roman"/>
                    <w:b/>
                    <w:sz w:val="24"/>
                    <w:szCs w:val="24"/>
                  </w:rPr>
                </w:pPr>
                <w:r w:rsidRPr="00C974DF">
                  <w:rPr>
                    <w:rFonts w:ascii="Times New Roman Bold" w:hAnsi="Times New Roman Bold" w:cs="Times New Roman"/>
                    <w:b/>
                    <w:sz w:val="24"/>
                    <w:szCs w:val="24"/>
                  </w:rPr>
                  <w:t xml:space="preserve">Date of submission of </w:t>
                </w:r>
                <w:r>
                  <w:rPr>
                    <w:rFonts w:ascii="Times New Roman Bold" w:hAnsi="Times New Roman Bold" w:cs="Times New Roman"/>
                    <w:b/>
                    <w:sz w:val="24"/>
                    <w:szCs w:val="24"/>
                  </w:rPr>
                  <w:t>checklist</w:t>
                </w:r>
              </w:p>
            </w:tc>
            <w:tc>
              <w:tcPr>
                <w:tcW w:w="6866" w:type="dxa"/>
              </w:tcPr>
              <w:p w:rsidR="00496921" w:rsidRPr="00C974DF" w:rsidRDefault="00496921" w:rsidP="00090B9F">
                <w:pPr>
                  <w:rPr>
                    <w:rFonts w:ascii="Times New Roman Bold" w:hAnsi="Times New Roman Bold" w:cs="Times New Roman"/>
                    <w:sz w:val="24"/>
                    <w:szCs w:val="24"/>
                  </w:rPr>
                </w:pPr>
                <w:r w:rsidRPr="00C974DF">
                  <w:rPr>
                    <w:rFonts w:ascii="Times New Roman Bold" w:hAnsi="Times New Roman Bold" w:cs="Times New Roman"/>
                    <w:sz w:val="24"/>
                    <w:szCs w:val="24"/>
                  </w:rPr>
                  <w:fldChar w:fldCharType="begin"/>
                </w:r>
                <w:r w:rsidRPr="00C974DF">
                  <w:rPr>
                    <w:rFonts w:ascii="Times New Roman" w:hAnsi="Times New Roman" w:cs="Times New Roman"/>
                    <w:sz w:val="24"/>
                    <w:szCs w:val="24"/>
                  </w:rPr>
                  <w:instrText xml:space="preserve"> DATE \@ "dd MMMM yyyy" </w:instrText>
                </w:r>
                <w:r w:rsidRPr="00C974DF">
                  <w:rPr>
                    <w:rFonts w:ascii="Times New Roman Bold" w:hAnsi="Times New Roman Bold" w:cs="Times New Roman"/>
                    <w:sz w:val="24"/>
                    <w:szCs w:val="24"/>
                  </w:rPr>
                  <w:fldChar w:fldCharType="separate"/>
                </w:r>
                <w:r w:rsidRPr="00C974DF">
                  <w:rPr>
                    <w:rFonts w:ascii="Times New Roman Bold" w:hAnsi="Times New Roman Bold" w:cs="Times New Roman"/>
                    <w:sz w:val="24"/>
                    <w:szCs w:val="24"/>
                  </w:rPr>
                  <w:fldChar w:fldCharType="end"/>
                </w:r>
              </w:p>
            </w:tc>
          </w:tr>
        </w:tbl>
        <w:p w:rsidR="00D1124F" w:rsidRDefault="00D1124F" w:rsidP="00D1124F">
          <w:pPr>
            <w:rPr>
              <w:rFonts w:ascii="Times New Roman" w:eastAsia="Times New Roman" w:hAnsi="Times New Roman" w:cs="Times New Roman"/>
              <w:kern w:val="24"/>
            </w:rPr>
          </w:pPr>
        </w:p>
      </w:sdtContent>
    </w:sdt>
    <w:p w:rsidR="00D1124F" w:rsidRPr="00614814" w:rsidRDefault="00D1124F" w:rsidP="00D1124F">
      <w:pPr>
        <w:spacing w:after="0" w:line="240" w:lineRule="auto"/>
        <w:jc w:val="both"/>
        <w:rPr>
          <w:rFonts w:ascii="Times New Roman" w:eastAsia="Times New Roman" w:hAnsi="Times New Roman" w:cs="Times New Roman"/>
          <w:kern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47"/>
        <w:gridCol w:w="1266"/>
        <w:gridCol w:w="1443"/>
      </w:tblGrid>
      <w:tr w:rsidR="00D1124F" w:rsidRPr="00614814" w:rsidTr="00D1124F">
        <w:tc>
          <w:tcPr>
            <w:tcW w:w="6147"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r w:rsidRPr="00614814">
              <w:rPr>
                <w:rFonts w:ascii="Times New Roman" w:eastAsia="Times New Roman" w:hAnsi="Times New Roman" w:cs="Times New Roman"/>
                <w:b/>
                <w:smallCaps/>
                <w:kern w:val="24"/>
              </w:rPr>
              <w:t>Page</w:t>
            </w: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r w:rsidRPr="00614814">
              <w:rPr>
                <w:rFonts w:ascii="Times New Roman" w:eastAsia="Times New Roman" w:hAnsi="Times New Roman" w:cs="Times New Roman"/>
                <w:b/>
                <w:smallCaps/>
                <w:kern w:val="24"/>
              </w:rPr>
              <w:t>MFSA Comments</w:t>
            </w:r>
          </w:p>
        </w:tc>
      </w:tr>
      <w:tr w:rsidR="00D1124F" w:rsidRPr="00614814" w:rsidTr="00D1124F">
        <w:tc>
          <w:tcPr>
            <w:tcW w:w="6147" w:type="dxa"/>
            <w:shd w:val="clear" w:color="auto" w:fill="auto"/>
          </w:tcPr>
          <w:p w:rsidR="00D1124F" w:rsidRPr="00614814" w:rsidRDefault="00D1124F" w:rsidP="00496921">
            <w:pPr>
              <w:numPr>
                <w:ilvl w:val="0"/>
                <w:numId w:val="1"/>
              </w:numPr>
              <w:spacing w:after="0" w:line="240" w:lineRule="auto"/>
              <w:contextualSpacing/>
              <w:jc w:val="both"/>
              <w:rPr>
                <w:rFonts w:ascii="Times New Roman" w:eastAsia="Times New Roman" w:hAnsi="Times New Roman" w:cs="Times New Roman"/>
                <w:b/>
                <w:smallCaps/>
                <w:kern w:val="24"/>
              </w:rPr>
            </w:pPr>
            <w:r w:rsidRPr="00614814">
              <w:rPr>
                <w:rFonts w:ascii="Times New Roman" w:eastAsia="Times New Roman" w:hAnsi="Times New Roman" w:cs="Times New Roman"/>
                <w:b/>
                <w:smallCaps/>
                <w:kern w:val="24"/>
              </w:rPr>
              <w:t>Information Concerning the scheme</w:t>
            </w:r>
          </w:p>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smallCaps/>
                <w:kern w:val="24"/>
              </w:rPr>
            </w:pPr>
            <w:r w:rsidRPr="00614814">
              <w:rPr>
                <w:rFonts w:ascii="Times New Roman" w:eastAsia="Times New Roman" w:hAnsi="Times New Roman" w:cs="Times New Roman"/>
                <w:kern w:val="24"/>
              </w:rPr>
              <w:t xml:space="preserve">Where the scheme shall be made available </w:t>
            </w:r>
            <w:r w:rsidRPr="00614814">
              <w:rPr>
                <w:rFonts w:ascii="Times New Roman" w:eastAsia="Times New Roman" w:hAnsi="Times New Roman" w:cs="Times New Roman"/>
                <w:kern w:val="24"/>
                <w:u w:val="single"/>
              </w:rPr>
              <w:t>only to professional investors,</w:t>
            </w:r>
            <w:r w:rsidRPr="00614814">
              <w:rPr>
                <w:rFonts w:ascii="Times New Roman" w:eastAsia="Times New Roman" w:hAnsi="Times New Roman" w:cs="Times New Roman"/>
                <w:kern w:val="24"/>
              </w:rPr>
              <w:t xml:space="preserve"> the following statements shall be inserted in a prominent position in bold in a font whose pitch is at least 12:</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jc w:val="both"/>
              <w:rPr>
                <w:rFonts w:ascii="Times New Roman" w:eastAsia="Times New Roman" w:hAnsi="Times New Roman" w:cs="Times New Roman"/>
                <w:b/>
                <w:kern w:val="24"/>
              </w:rPr>
            </w:pPr>
            <w:r w:rsidRPr="00614814">
              <w:rPr>
                <w:rFonts w:ascii="Times New Roman" w:eastAsia="Times New Roman" w:hAnsi="Times New Roman" w:cs="Times New Roman"/>
                <w:b/>
                <w:kern w:val="24"/>
              </w:rPr>
              <w:t>“[name of the FUND] is licensed by the Malta Financial Services Authority (“MFSA”) as an Alternative Investment Fund which is available to Professional Investors.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jc w:val="both"/>
              <w:rPr>
                <w:rFonts w:ascii="Times New Roman" w:eastAsia="Times New Roman" w:hAnsi="Times New Roman" w:cs="Times New Roman"/>
                <w:b/>
                <w:kern w:val="24"/>
              </w:rPr>
            </w:pPr>
            <w:r w:rsidRPr="00614814">
              <w:rPr>
                <w:rFonts w:ascii="Times New Roman" w:eastAsia="Times New Roman" w:hAnsi="Times New Roman" w:cs="Times New Roman"/>
                <w:b/>
                <w:kern w:val="24"/>
              </w:rPr>
              <w:t>“This Alternative Investor Fund is a Non–Retail Scheme. Therefore, the protection normally arising as a result of the imposition of the MFSA’s investment and borrowing restrictions and other requirements for retail schemes do not apply.”</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jc w:val="both"/>
              <w:rPr>
                <w:rFonts w:ascii="Times New Roman" w:eastAsia="Times New Roman" w:hAnsi="Times New Roman" w:cs="Times New Roman"/>
                <w:b/>
                <w:kern w:val="24"/>
              </w:rPr>
            </w:pPr>
            <w:r w:rsidRPr="00614814">
              <w:rPr>
                <w:rFonts w:ascii="Times New Roman" w:eastAsia="Times New Roman" w:hAnsi="Times New Roman" w:cs="Times New Roman"/>
                <w:b/>
                <w:kern w:val="24"/>
              </w:rPr>
              <w:t>“The MFSA has made no assessment or value judgment on the soundness of the fund or for the accuracy or completeness of statements made or opinions expressed with regard to it.”.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kern w:val="24"/>
              </w:rPr>
              <w:t>“</w:t>
            </w:r>
            <w:r w:rsidRPr="00614814">
              <w:rPr>
                <w:rFonts w:ascii="Times New Roman" w:eastAsia="Times New Roman" w:hAnsi="Times New Roman" w:cs="Times New Roman"/>
                <w:b/>
                <w:kern w:val="24"/>
              </w:rPr>
              <w:t>The authorisation of the [name of the Fund] is not tantamount to an endorsement of the Fund by the MFSA nor is the MFSA responsible for the contents of this Offering Memorandum.”</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2160" w:hanging="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Where the scheme shall be made available </w:t>
            </w:r>
            <w:r w:rsidRPr="00614814">
              <w:rPr>
                <w:rFonts w:ascii="Times New Roman" w:eastAsia="Times New Roman" w:hAnsi="Times New Roman" w:cs="Times New Roman"/>
                <w:kern w:val="24"/>
                <w:u w:val="single"/>
              </w:rPr>
              <w:t>only to qualifying investors,</w:t>
            </w:r>
            <w:r w:rsidRPr="00614814">
              <w:rPr>
                <w:rFonts w:ascii="Times New Roman" w:eastAsia="Times New Roman" w:hAnsi="Times New Roman" w:cs="Times New Roman"/>
                <w:kern w:val="24"/>
              </w:rPr>
              <w:t xml:space="preserve"> the following statements shall be inserted in a prominent position in bold in a font whose pitch is at least 12:</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b/>
                <w:kern w:val="24"/>
              </w:rPr>
              <w:t>“[name of the FUND] is licensed by the Malta Financial Services Authority (“MFSA”) as an Alternative Investment Fund whose investors may comprise Qualifying Investors, and fulfils any additional conditions prescribed by the Authority in relation to Schemes sold to Qualifying Investors.”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b/>
                <w:kern w:val="24"/>
              </w:rPr>
              <w:t>“The protection normally arising as a result of the imposition of the MFSA’s investment and borrowing restrictions and other requirements for retail schemes do not apply for this fund.”</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b/>
                <w:kern w:val="24"/>
              </w:rPr>
              <w:t>“This fund may only be marketed outside Malta to Professional Investors as defined in the AIFM Directive. The marketing of the fund to an investor who is not a Professional Investor as defined in the AIFM Directive may only be undertaken if allowed by the respective jurisdiction and subject to the national provisions applicable in the respective jurisdiction as prescribed in Article 43 AIFMD.”</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b/>
                <w:kern w:val="24"/>
              </w:rPr>
              <w:t xml:space="preserve">“The MFSA has made no assessment or value judgment on the soundness of the fund or for the accuracy or completeness of statements made or opinions expressed with regard to it.”.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kern w:val="24"/>
              </w:rPr>
              <w:t>“</w:t>
            </w:r>
            <w:r w:rsidRPr="00614814">
              <w:rPr>
                <w:rFonts w:ascii="Times New Roman" w:eastAsia="Times New Roman" w:hAnsi="Times New Roman" w:cs="Times New Roman"/>
                <w:b/>
                <w:kern w:val="24"/>
              </w:rPr>
              <w:t>The authorisation of the [name of the Fund] is not tantamount to an endorsement of the Fund by the MFSA nor is the MFSA responsible for the contents of this Offering Memorandum.”</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b/>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kern w:val="24"/>
              </w:rPr>
              <w:t>Name of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Date of establishment of the scheme;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Duration of the scheme, where limited</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Form in law (must be stated on the cover page)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8"/>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SICAV</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8"/>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INVCO</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8"/>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Unit Trust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8"/>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Incorporated Cell Company/ Incorporated Cell of an Incorporated Cell Company</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8"/>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Incorporated Cell of a Recognised Incorporated Cell Company</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8"/>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Contractual Fund</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8"/>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Limited Partnership</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b/>
                <w:smallCaps/>
                <w:kern w:val="24"/>
              </w:rPr>
            </w:pPr>
            <w:r w:rsidRPr="00614814">
              <w:rPr>
                <w:rFonts w:ascii="Times New Roman" w:eastAsia="Times New Roman" w:hAnsi="Times New Roman" w:cs="Times New Roman"/>
                <w:kern w:val="24"/>
              </w:rPr>
              <w:t xml:space="preserve">Where the scheme is a self-managed scheme, include a reference to the self-managed nature of the scheme.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Registered office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Declaration indicating the persons who are accepting responsibility for the contents of the offering memorandum (e.g. Directors in the case of a SICAV/INVCO)</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Information whether the scheme will be establishing any sub-funds with single or multiple classes of shares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 the case of an umbrella scheme, a declaration that new sub-funds require the prior approval of the MFSA;</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Where the scheme is established as a SICAV in terms of the Companies Act (Investment Companies with Variable Share Capital) Regulations, information on whether the scheme has elected to have the assets and liabilities of each sub-fund comprised in the company treated for all intents and purposes as a patrimony separate from the assets and liabilities of each other sub-fund of such company.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base currency of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Accounting currency</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Name and address of the auditor</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Name and address of the legal advisors of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Name and address of the tax advisors of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Where applicable the regulated market on which the units of the Scheme will be listed or dealt in.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86C18" w:rsidRDefault="00D1124F" w:rsidP="00496921">
            <w:pPr>
              <w:numPr>
                <w:ilvl w:val="0"/>
                <w:numId w:val="1"/>
              </w:numPr>
              <w:spacing w:after="0" w:line="240" w:lineRule="auto"/>
              <w:contextualSpacing/>
              <w:jc w:val="both"/>
              <w:rPr>
                <w:rFonts w:ascii="Times New Roman" w:eastAsia="Times New Roman" w:hAnsi="Times New Roman" w:cs="Times New Roman"/>
                <w:b/>
                <w:smallCaps/>
                <w:kern w:val="24"/>
              </w:rPr>
            </w:pPr>
            <w:r w:rsidRPr="00686C18">
              <w:rPr>
                <w:rFonts w:ascii="Times New Roman" w:eastAsia="Times New Roman" w:hAnsi="Times New Roman" w:cs="Times New Roman"/>
                <w:b/>
                <w:smallCaps/>
                <w:kern w:val="24"/>
              </w:rPr>
              <w:t>Information concerning the investment objectives, policies and restrictions of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A description of the investment strategy, objectives and policies of the scheme. This description must be as comprehensive as possible to ensure that investors can make an informed decision on the investment being proposed.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description shall include: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9"/>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Where the scheme is being established as a master-feeder scheme, information on where the master scheme is established;</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9"/>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If the fund is being established as a fund of funds, information on where the underlying funds are established;</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9"/>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types of assets in which the scheme may invest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9"/>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An indication whether the scheme will be operating in accordance with the principle of risk spreading;</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9"/>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techniques which the scheme may employ.</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86C18"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86C18">
              <w:rPr>
                <w:rFonts w:ascii="Times New Roman" w:eastAsia="Times New Roman" w:hAnsi="Times New Roman" w:cs="Times New Roman"/>
                <w:kern w:val="24"/>
              </w:rPr>
              <w:t>A description of the risks attached to the investment policy of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 the case of securities, the offering document shall provide an indication of whether the securities are listed or unlisted and the geographical spread.</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 the case of investment in equities, the offering document shall provide an indication whether the fund shall target equities having particular market size, capitalisation.</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 the case of investments in fixed income, the whether these are sovereign or corporate bonds. Furthermore, an indication shall be provided of the ratings of such fixed income assets i.e. whether high yield and investment grade.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Where the scheme expects to deal/trade directly in commodities or expects the delivery of commodities underlying an FDI instrument, the manner in which such investments will be made by the fund, the types of commodities, including relevant safekeeping arrangements, insurance arrangements (as applicable), valuation methodology of such asset and relevant risk warnings in relation to these instruments.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Where the scheme proposes to invest in other collective investment schemes, the offering document shall provide the following information:</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0"/>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strategy of such collective investment schemes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0"/>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domicile of the collective investment schemes;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0"/>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confirmation that the scheme is not restricted from investing in other collective investment schemes;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0"/>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an identification whether the scheme will invest in collective investment schemes which are managed by the same AIFM of the scheme. In the case where the scheme is allowed to invest in such collective investment schemes which are managed by the AIFM managing the scheme, a confirmation that there will be certain waiving of fees and that only one set of subscription and/or redemption fees applies between the scheme and the underlying scheme level in order to avoid duplication of fees;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0"/>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an indication whether the target collective investment schemes are regulated or otherwise;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an indication whether the scheme may invest in other sub-funds of the same scheme and the applicability or otherwise of the rules on cross sub-fund investments;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Where the scheme proposes to invest in financial derivative instruments: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1"/>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an indication of the types of financial derivative instruments;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1"/>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an indication whether these financial derivative instruments will be used as part of the investment strategy and/or for hedging purposes and whether they are exchange-traded or dealt in over-the counter</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1"/>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information on the underlying asset of the financial derivative instruments.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2160" w:hanging="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With regards to the investment restrictions information on the applicable investment restrictions and any limits on investments.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any remedial measures which the scheme proposes to take in the case where any investment limits are exceeded.</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procedures by which the scheme may change its investment strategy or investment policy or both.</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statement indicating that changes to the investment policies and restrictions of the scheme shall be notified to investors in advance of the change.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A statement indicating that changes to the investment objectives of the scheme, shall be notified to investors in advance of the change. The change in the investment objectives will only become effective after all redemption requests received during such notice period, have been satisfied.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b/>
                <w:kern w:val="24"/>
              </w:rPr>
              <w:t>Leverage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The means through which the Scheme will employ leverage.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circumstances in which the scheme may use leverage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maximum level of leverage which the AIFM is entitled to employ on behalf of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2160" w:hanging="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Any restriction on the use of leverage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A description of any collateral and asset reuse arrangements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b/>
                <w:kern w:val="24"/>
              </w:rPr>
              <w:t>Loan Funds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risk warning which describes the risks which arise from Loan Funds and how investment in such a scheme is illiquid, not guaranteed and subject to the possibility of investment losses.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kern w:val="24"/>
              </w:rPr>
              <w:t>Information on the risk diversification strategy which the scheme will adopt to achieve a portfolio of loans whether through direct origination of loans by the scheme or through the acquisition by the scheme of a portfolio of loans or a direct interest in loans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Information on the manner in which the scheme proposes to limit the exposure to any one single undertaking to 10%</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Information on the time-frames which the scheme will be adopting to achieve its strategy</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Disclosure of the dates when the scheme or the AIFM may invite redemptions from unit-holders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Information on the risk and reward profile of the scheme to enable investors to assess the risks linked to an investment in this type of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Information on the concentration of the scheme with regards to individual entities, the locations and the sectors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credit risk policy as outlined in Section 4 of the Rules applicable to collective investment schemes authorised to invest through loans.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Information on the leverage limits of the scheme and a warning that these leverage limits may be varied by the MFSA.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2160" w:hanging="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b/>
                <w:kern w:val="24"/>
              </w:rPr>
              <w:t xml:space="preserve">Money Market Funds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statement whether the scheme is a money market fund or a short-term money market fund.</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scheme must have the primary objective of maintaining the principal investment of the fund and shall aim to provide a return in line with money market rates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Information to investors on the risk and reward profile of the Scheme to enable them to identify any specific risks linked to the investment strategy of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Information on the investments carried out by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2160" w:hanging="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b/>
                <w:kern w:val="24"/>
              </w:rPr>
              <w:t>European Venture Capital Funds [Regulation (EU) No. 345/2013</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b/>
                <w:smallCaps/>
                <w:kern w:val="24"/>
              </w:rPr>
            </w:pPr>
            <w:r w:rsidRPr="00614814">
              <w:rPr>
                <w:rFonts w:ascii="Times New Roman" w:eastAsia="Times New Roman" w:hAnsi="Times New Roman" w:cs="Times New Roman"/>
                <w:kern w:val="24"/>
              </w:rPr>
              <w:t>Where the scheme is established as an EuVECA fund, the information provided shall include:</w:t>
            </w:r>
            <w:r w:rsidRPr="00614814">
              <w:rPr>
                <w:rFonts w:ascii="Times New Roman" w:eastAsia="Times New Roman" w:hAnsi="Times New Roman" w:cs="Times New Roman"/>
                <w:b/>
                <w:smallCaps/>
                <w:kern w:val="24"/>
              </w:rPr>
              <w:t xml:space="preserve">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6"/>
              </w:numPr>
              <w:spacing w:after="0" w:line="240" w:lineRule="auto"/>
              <w:ind w:left="1276" w:hanging="556"/>
              <w:contextualSpacing/>
              <w:jc w:val="both"/>
              <w:rPr>
                <w:rFonts w:ascii="Times New Roman" w:eastAsia="Times New Roman" w:hAnsi="Times New Roman" w:cs="Times New Roman"/>
                <w:b/>
                <w:smallCaps/>
                <w:kern w:val="24"/>
              </w:rPr>
            </w:pPr>
            <w:r w:rsidRPr="00614814">
              <w:rPr>
                <w:rFonts w:ascii="Times New Roman" w:eastAsia="Times New Roman" w:hAnsi="Times New Roman" w:cs="Times New Roman"/>
                <w:kern w:val="24"/>
              </w:rPr>
              <w:t>a confirmation that the AIFM is in possession of a licence/authorisation granted in terms of Directive 2011/61/EU;</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6"/>
              </w:numPr>
              <w:spacing w:after="0" w:line="240" w:lineRule="auto"/>
              <w:ind w:left="1276" w:hanging="556"/>
              <w:contextualSpacing/>
              <w:jc w:val="both"/>
              <w:rPr>
                <w:rFonts w:ascii="Times New Roman" w:eastAsia="Times New Roman" w:hAnsi="Times New Roman" w:cs="Times New Roman"/>
                <w:b/>
                <w:smallCaps/>
                <w:kern w:val="24"/>
              </w:rPr>
            </w:pPr>
            <w:r w:rsidRPr="00614814">
              <w:rPr>
                <w:rFonts w:ascii="Times New Roman" w:eastAsia="Times New Roman" w:hAnsi="Times New Roman" w:cs="Times New Roman"/>
                <w:kern w:val="24"/>
              </w:rPr>
              <w:t>a description of the investment strategy and objectives of each EuVECA fund including:</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A66689" w:rsidRDefault="00D1124F" w:rsidP="00496921">
            <w:pPr>
              <w:numPr>
                <w:ilvl w:val="0"/>
                <w:numId w:val="19"/>
              </w:numPr>
              <w:tabs>
                <w:tab w:val="left" w:pos="1843"/>
              </w:tabs>
              <w:spacing w:after="0" w:line="240" w:lineRule="auto"/>
              <w:ind w:left="1843" w:hanging="567"/>
              <w:contextualSpacing/>
              <w:jc w:val="both"/>
              <w:rPr>
                <w:rFonts w:ascii="Times New Roman" w:eastAsia="Times New Roman" w:hAnsi="Times New Roman" w:cs="Times New Roman"/>
                <w:smallCaps/>
                <w:kern w:val="24"/>
              </w:rPr>
            </w:pPr>
            <w:r w:rsidRPr="00A66689">
              <w:rPr>
                <w:rFonts w:ascii="Times New Roman" w:eastAsia="Times New Roman" w:hAnsi="Times New Roman" w:cs="Times New Roman"/>
                <w:kern w:val="24"/>
              </w:rPr>
              <w:t>the types of qualifying portfolio undertakings in which the AIFM intends investing</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A66689" w:rsidRDefault="00D1124F" w:rsidP="00496921">
            <w:pPr>
              <w:numPr>
                <w:ilvl w:val="0"/>
                <w:numId w:val="19"/>
              </w:numPr>
              <w:tabs>
                <w:tab w:val="left" w:pos="1843"/>
              </w:tabs>
              <w:spacing w:after="0" w:line="240" w:lineRule="auto"/>
              <w:ind w:left="1843" w:hanging="567"/>
              <w:contextualSpacing/>
              <w:jc w:val="both"/>
              <w:rPr>
                <w:rFonts w:ascii="Times New Roman" w:eastAsia="Times New Roman" w:hAnsi="Times New Roman" w:cs="Times New Roman"/>
                <w:smallCaps/>
                <w:kern w:val="24"/>
              </w:rPr>
            </w:pPr>
            <w:r w:rsidRPr="00A66689">
              <w:rPr>
                <w:rFonts w:ascii="Times New Roman" w:eastAsia="Times New Roman" w:hAnsi="Times New Roman" w:cs="Times New Roman"/>
                <w:kern w:val="24"/>
              </w:rPr>
              <w:t>any other qualifying venture capital funds in which the AIFM intends to invest;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A66689" w:rsidRDefault="00D1124F" w:rsidP="00496921">
            <w:pPr>
              <w:numPr>
                <w:ilvl w:val="0"/>
                <w:numId w:val="19"/>
              </w:numPr>
              <w:tabs>
                <w:tab w:val="left" w:pos="1843"/>
              </w:tabs>
              <w:spacing w:after="0" w:line="240" w:lineRule="auto"/>
              <w:ind w:left="1843" w:hanging="567"/>
              <w:contextualSpacing/>
              <w:jc w:val="both"/>
              <w:rPr>
                <w:rFonts w:ascii="Times New Roman" w:eastAsia="Times New Roman" w:hAnsi="Times New Roman" w:cs="Times New Roman"/>
                <w:smallCaps/>
                <w:kern w:val="24"/>
              </w:rPr>
            </w:pPr>
            <w:r w:rsidRPr="00A66689">
              <w:rPr>
                <w:rFonts w:ascii="Times New Roman" w:eastAsia="Times New Roman" w:hAnsi="Times New Roman" w:cs="Times New Roman"/>
                <w:kern w:val="24"/>
              </w:rPr>
              <w:t>the types of qualifying portfolio undertakings in which any other qualifying venture capital fund as referred to in paragraph (ii) intends to invest;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9"/>
              </w:numPr>
              <w:tabs>
                <w:tab w:val="left" w:pos="1843"/>
              </w:tabs>
              <w:spacing w:after="0" w:line="240" w:lineRule="auto"/>
              <w:ind w:left="1843"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non-qualifying investment which the AIFM intends to make;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9"/>
              </w:numPr>
              <w:tabs>
                <w:tab w:val="left" w:pos="1843"/>
              </w:tabs>
              <w:spacing w:after="0" w:line="240" w:lineRule="auto"/>
              <w:ind w:left="1843"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techniques it intends to employ;</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9"/>
              </w:numPr>
              <w:tabs>
                <w:tab w:val="left" w:pos="1843"/>
              </w:tabs>
              <w:spacing w:after="0" w:line="240" w:lineRule="auto"/>
              <w:ind w:left="1843"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any applicable investment restrictions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6"/>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risk profile of the qualifying venture capital fund and any risks associated with the assets in which the scheme may invest or investment techniques that may be employed;</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6"/>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procedures by which the qualifying venture capital fund may change its investment strategy or investment policy or both.</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smallCaps/>
                <w:kern w:val="24"/>
              </w:rPr>
            </w:pPr>
            <w:r w:rsidRPr="00614814">
              <w:rPr>
                <w:rFonts w:ascii="Times New Roman Bold" w:eastAsia="Times New Roman" w:hAnsi="Times New Roman Bold" w:cs="Times New Roman"/>
                <w:b/>
                <w:kern w:val="24"/>
              </w:rPr>
              <w:t>European Social Entrepreneurship Funds [Regulation (EU) No</w:t>
            </w:r>
            <w:r w:rsidRPr="00614814">
              <w:rPr>
                <w:rFonts w:ascii="Times New Roman" w:eastAsia="Times New Roman" w:hAnsi="Times New Roman" w:cs="Times New Roman"/>
                <w:b/>
                <w:smallCaps/>
                <w:kern w:val="24"/>
              </w:rPr>
              <w:t xml:space="preserve"> 346/2013</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Where the scheme is established as an EuSEF fund, the information provided shall include: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0"/>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confirmation that the AIFM is in possession of a licence/authorisation granted in terms of Directive 2011/61/EU;</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0"/>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investment strategy and objectives of each EuSEF fund including:</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1"/>
              </w:numPr>
              <w:tabs>
                <w:tab w:val="left" w:pos="1843"/>
              </w:tabs>
              <w:spacing w:after="0" w:line="240" w:lineRule="auto"/>
              <w:ind w:left="1843"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types of qualifying portfolio undertakings in which the AIFM intends investing;</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1"/>
              </w:numPr>
              <w:tabs>
                <w:tab w:val="left" w:pos="1843"/>
              </w:tabs>
              <w:spacing w:after="0" w:line="240" w:lineRule="auto"/>
              <w:ind w:left="1843"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any other qualifying social entrepreneurship funds in which the AIFM intends to invest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1"/>
              </w:numPr>
              <w:tabs>
                <w:tab w:val="left" w:pos="1843"/>
              </w:tabs>
              <w:spacing w:after="0" w:line="240" w:lineRule="auto"/>
              <w:ind w:left="1843"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types of qualifying portfolio undertakings in which any other qualifying social entrepreneurship fund as referred to in paragraph (ii) intends to invest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1"/>
              </w:numPr>
              <w:tabs>
                <w:tab w:val="left" w:pos="1843"/>
              </w:tabs>
              <w:spacing w:after="0" w:line="240" w:lineRule="auto"/>
              <w:ind w:left="1843"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non-qualifying investment which the AIFM intends to make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1"/>
              </w:numPr>
              <w:tabs>
                <w:tab w:val="left" w:pos="1843"/>
              </w:tabs>
              <w:spacing w:after="0" w:line="240" w:lineRule="auto"/>
              <w:ind w:left="1843"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techniques it intends to employ</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1"/>
              </w:numPr>
              <w:tabs>
                <w:tab w:val="left" w:pos="1843"/>
              </w:tabs>
              <w:spacing w:after="0" w:line="240" w:lineRule="auto"/>
              <w:ind w:left="1843"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any applicable investment restrictions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A66689" w:rsidRDefault="00D1124F" w:rsidP="00496921">
            <w:pPr>
              <w:numPr>
                <w:ilvl w:val="0"/>
                <w:numId w:val="20"/>
              </w:numPr>
              <w:spacing w:after="0" w:line="240" w:lineRule="auto"/>
              <w:ind w:left="1276" w:hanging="567"/>
              <w:contextualSpacing/>
              <w:jc w:val="both"/>
              <w:rPr>
                <w:rFonts w:ascii="Times New Roman" w:eastAsia="Times New Roman" w:hAnsi="Times New Roman" w:cs="Times New Roman"/>
                <w:smallCaps/>
                <w:kern w:val="24"/>
              </w:rPr>
            </w:pPr>
            <w:r w:rsidRPr="00A66689">
              <w:rPr>
                <w:rFonts w:ascii="Times New Roman" w:eastAsia="Times New Roman" w:hAnsi="Times New Roman" w:cs="Times New Roman"/>
                <w:kern w:val="24"/>
              </w:rPr>
              <w:t>a description of the positive social impact being targeted by the investment policy of the qualifying social entrepreneurship fund, including, where relevant, projections of such outcomes as may be reasonable and information on past performance in this area;</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A66689" w:rsidRDefault="00D1124F" w:rsidP="00496921">
            <w:pPr>
              <w:numPr>
                <w:ilvl w:val="0"/>
                <w:numId w:val="20"/>
              </w:numPr>
              <w:spacing w:after="0" w:line="240" w:lineRule="auto"/>
              <w:ind w:left="1276" w:hanging="567"/>
              <w:contextualSpacing/>
              <w:jc w:val="both"/>
              <w:rPr>
                <w:rFonts w:ascii="Times New Roman" w:eastAsia="Times New Roman" w:hAnsi="Times New Roman" w:cs="Times New Roman"/>
                <w:kern w:val="24"/>
              </w:rPr>
            </w:pPr>
            <w:r w:rsidRPr="00A66689">
              <w:rPr>
                <w:rFonts w:ascii="Times New Roman" w:eastAsia="Times New Roman" w:hAnsi="Times New Roman" w:cs="Times New Roman"/>
                <w:kern w:val="24"/>
              </w:rPr>
              <w:t>the methodologies to be used to measure social impacts;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0"/>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assets other than qualifying portfolio undertakings and the process and the criteria which are used for selecting these assets unless they are cash or cash equivalents;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0"/>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risk profile of the qualifying social entrepreneurship fund and any risks associated with the assets in which the scheme may invest or investment techniques that may be employed;</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0"/>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a description of the procedures by which the qualifying venture capital fund may change its investment strategy or investment policy or both.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b/>
                <w:kern w:val="24"/>
              </w:rPr>
              <w:t>European Long-Term Investment Funds [Regulation (EU) No. 2015/760]</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kern w:val="24"/>
              </w:rPr>
              <w:t>Information necessary to enable investor to make an informed assessment regarding the investment proposed to them and in particular the risks attached thereto.</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kern w:val="24"/>
              </w:rPr>
              <w:t>The following additional information shall be provided:</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2"/>
              </w:numPr>
              <w:spacing w:after="0" w:line="240" w:lineRule="auto"/>
              <w:ind w:left="1276" w:hanging="567"/>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kern w:val="24"/>
              </w:rPr>
              <w:t>a statement setting out how the scheme’s investment objectives and strategy for achieving these objectives qualify the scheme as long-term in nature;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2"/>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information to be disclosed by the schemes of the closed-ended type in accordance with Directive 20032/71/EC and Regulation (EU) No 809/2004;</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2"/>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an indication of the jurisdiction in which the scheme is allowed to invest;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2"/>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any other information considered necessary by the MFSA to be relevant to enable investors to make such informed assessment;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2"/>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information about the long-term nature of the scheme’s investments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2"/>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information about the end of the life of the scheme as well as the option to extend the life of the scheme where this is provided for and the applicable conditions;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2"/>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information whether the scheme is intended to be marketed to retail investors;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2"/>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an explanation on the rights of investors to redeem their investment in accordance with article 18 of Regulation (EU) 2015/760 and a confirmation that redemptions to investors shall be possible from the day following the date of the end of life of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2"/>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information on the frequency and timing of the distribution of the proceeds, if any, to investors during the life of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A66689" w:rsidRDefault="00D1124F" w:rsidP="00496921">
            <w:pPr>
              <w:numPr>
                <w:ilvl w:val="0"/>
                <w:numId w:val="22"/>
              </w:numPr>
              <w:spacing w:after="0" w:line="240" w:lineRule="auto"/>
              <w:ind w:left="1276" w:hanging="567"/>
              <w:contextualSpacing/>
              <w:jc w:val="both"/>
              <w:rPr>
                <w:rFonts w:ascii="Times New Roman" w:eastAsia="Times New Roman" w:hAnsi="Times New Roman" w:cs="Times New Roman"/>
                <w:kern w:val="24"/>
              </w:rPr>
            </w:pPr>
            <w:r w:rsidRPr="00A66689">
              <w:rPr>
                <w:rFonts w:ascii="Times New Roman" w:eastAsia="Times New Roman" w:hAnsi="Times New Roman" w:cs="Times New Roman"/>
                <w:kern w:val="24"/>
              </w:rPr>
              <w:t>a declaration to investors that only a small proportion of their overall investment portfolio should be invested in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A66689" w:rsidRDefault="00D1124F" w:rsidP="00496921">
            <w:pPr>
              <w:numPr>
                <w:ilvl w:val="0"/>
                <w:numId w:val="22"/>
              </w:numPr>
              <w:spacing w:after="0" w:line="240" w:lineRule="auto"/>
              <w:ind w:left="1276" w:hanging="567"/>
              <w:contextualSpacing/>
              <w:jc w:val="both"/>
              <w:rPr>
                <w:rFonts w:ascii="Times New Roman" w:eastAsia="Times New Roman" w:hAnsi="Times New Roman" w:cs="Times New Roman"/>
                <w:kern w:val="24"/>
              </w:rPr>
            </w:pPr>
            <w:r w:rsidRPr="00A66689">
              <w:rPr>
                <w:rFonts w:ascii="Times New Roman" w:eastAsia="Times New Roman" w:hAnsi="Times New Roman" w:cs="Times New Roman"/>
                <w:kern w:val="24"/>
              </w:rPr>
              <w:t>a description of the hedging policy of the scheme, including a prominent indication that financial derivative instruments may be used only for the purpose of hedging risks inherent to other investments of the scheme, and an indication of the possible impact of the use of financial derivative instruments on the risk profile of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2"/>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information to investors about the risks related to investing in real assets, including infrastructure;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2"/>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regular updated information (at least annually) on the jurisdictions in which the scheme has invested.</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Information from the AIFM whether or not it intends to borrow cash as part of its investment strategy.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Information concerning the redemption policy.</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 relation to cost disclosure, the offering document shall prominently inform investors of the level of the different costs borne directly or indirectly by the investors. The different costs shall be grouped per the following headings: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23"/>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costs of setting up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23"/>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costs related to the acquisition of assets;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23"/>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management and performance related fees;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23"/>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distribution costs;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23"/>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other costs, including administrative, regulatory, depositary, depositary, professional service and audit costs;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23"/>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an overall ratio of the costs to the capital of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2160" w:hanging="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b/>
                <w:kern w:val="24"/>
              </w:rPr>
              <w:t>Use of side pockets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Where applicable, in the use of side pockets: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7"/>
              </w:numPr>
              <w:spacing w:after="0" w:line="240" w:lineRule="auto"/>
              <w:ind w:left="1276" w:hanging="567"/>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circumstances/criteria where a side pocket may be employed, the policy for transferring assets to side pockets, including the nature of the assets that may be allocated to side pockets and the circumstances in which such allocations may be made as well as the procedure for the allocation of investments to side pockets; a disclosure of any side pocket arrangements together with the clause in the instruments of incorporation which permits the creation of side pockets;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7"/>
              </w:numPr>
              <w:spacing w:after="0" w:line="240" w:lineRule="auto"/>
              <w:ind w:left="1276" w:hanging="567"/>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policy and procedure to be followed by the scheme for transferring assets out of side pockets or for redeeming such assets as well as the procedure to be followed for the redemption or re-conversion of the units representing the side pocket. In this regard, upon the occurrence of a ‘liquidity event whereby an asset allocated to a side pocket becomes liquid or capable of valuation, the scheme may decide to redeem such asset or to transfer such asset to the liquid pool of assets – details pertaining to the policy and procedure to be adopted are to be clearly disclosed</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7"/>
              </w:numPr>
              <w:spacing w:after="0" w:line="240" w:lineRule="auto"/>
              <w:ind w:left="1276" w:hanging="567"/>
              <w:jc w:val="both"/>
              <w:rPr>
                <w:rFonts w:ascii="Times New Roman" w:eastAsia="Times New Roman" w:hAnsi="Times New Roman" w:cs="Times New Roman"/>
                <w:kern w:val="24"/>
              </w:rPr>
            </w:pPr>
            <w:r w:rsidRPr="00614814">
              <w:rPr>
                <w:rFonts w:ascii="Times New Roman" w:eastAsia="Times New Roman" w:hAnsi="Times New Roman" w:cs="Times New Roman"/>
                <w:kern w:val="24"/>
              </w:rPr>
              <w:t>limits (where applicable) on the size of side pockets, including the maximum percentage of the scheme/sub-fund which can be allocated to the side pocket in aggregate, and in the case where no limits are set, disclosure to this effect;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7"/>
              </w:numPr>
              <w:spacing w:after="0" w:line="240" w:lineRule="auto"/>
              <w:ind w:left="1276" w:hanging="567"/>
              <w:jc w:val="both"/>
              <w:rPr>
                <w:rFonts w:ascii="Times New Roman" w:eastAsia="Times New Roman" w:hAnsi="Times New Roman" w:cs="Times New Roman"/>
                <w:kern w:val="24"/>
              </w:rPr>
            </w:pPr>
            <w:r w:rsidRPr="00614814">
              <w:rPr>
                <w:rFonts w:ascii="Times New Roman" w:eastAsia="Times New Roman" w:hAnsi="Times New Roman" w:cs="Times New Roman"/>
                <w:kern w:val="24"/>
              </w:rPr>
              <w:t>policies for the valuation of assets allocated to a side pocket. This disclosure should be comprehensive on the methodology for the valuation of these types of assets and should also refer to a consistent approach to be adopted when valuing such assets;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7"/>
              </w:numPr>
              <w:spacing w:after="0" w:line="240" w:lineRule="auto"/>
              <w:ind w:left="1276" w:hanging="567"/>
              <w:jc w:val="both"/>
              <w:rPr>
                <w:rFonts w:ascii="Times New Roman" w:eastAsia="Times New Roman" w:hAnsi="Times New Roman" w:cs="Times New Roman"/>
                <w:kern w:val="24"/>
              </w:rPr>
            </w:pPr>
            <w:r w:rsidRPr="00614814">
              <w:rPr>
                <w:rFonts w:ascii="Times New Roman" w:eastAsia="Times New Roman" w:hAnsi="Times New Roman" w:cs="Times New Roman"/>
                <w:kern w:val="24"/>
              </w:rPr>
              <w:t>fee structure relating to the class of units representing the side pocket; and</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7"/>
              </w:numPr>
              <w:spacing w:after="0" w:line="240" w:lineRule="auto"/>
              <w:ind w:left="1276" w:hanging="567"/>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relevant risk warnings in particular arising from the fact that side pocket assets may be hard to value, the illiquidity of side pocket assets, the difficulty which investors may find to exit from an investment in a side pocket rather than from a ‘normal’ share class in the scheme, and associated restrictions in realising interests in such assets.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2160" w:hanging="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Bold" w:eastAsia="Times New Roman" w:hAnsi="Times New Roman Bold" w:cs="Times New Roman"/>
                <w:b/>
                <w:kern w:val="24"/>
                <w:highlight w:val="yellow"/>
              </w:rPr>
            </w:pPr>
            <w:r w:rsidRPr="00614814">
              <w:rPr>
                <w:rFonts w:ascii="Times New Roman Bold" w:eastAsia="Times New Roman" w:hAnsi="Times New Roman Bold" w:cs="Times New Roman"/>
                <w:b/>
                <w:kern w:val="24"/>
              </w:rPr>
              <w:t>Use of trading companies and special purpose vehicles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2160" w:hanging="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Where applicable, an indication that the scheme will use trading companies or special purpose vehicles as part of its investment strategy.</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2160" w:hanging="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 particular, in relation to the use of special purpose vehicles, a description outlining the relevant criteria and requirements applicable in relation to the financing of such special purpose vehicles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2160" w:hanging="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manner in which such financing will be made i.e. either by capital contributions only, or a combination of capital contributions and loan facilities (as applicable).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Details relating to the main terms of a loan facility arrangements to be entered into by the scheme and the special purpose vehicle in question which could inter alia include the following:</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5"/>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that the scheme should not be obliged to honour any request for lending made by the special purpose vehicle in the case where the scheme does not have sufficient liquid assets or if the scheme deems necessary the retention of such assets to finance other investments of the sub-fund or the retention of such assets as reserves for any current or future contingent liability;</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5"/>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that any amount borrowed by the special purpose vehicle will be repayable on or within a short period of time following any request in this regard by the scheme in order to ensure the liquidity of the scheme and allow the scheme to satisfy redemption requests by investors in the case where these cannot be satisfied from liquid assets available to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5"/>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that any proceeds of any loan made to the special purpose vehicle shall be used by it solely to finance the acquisition of the assets or property referred to in the loan agreement, which shall always reflect and be in line with the objectives and policies of the sub-fund</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5"/>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any other safeguards deemed appropriate by the directors of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2160" w:hanging="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b/>
                <w:kern w:val="24"/>
              </w:rPr>
              <w:t>Investment through joint ventures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Where the scheme proposes through invest through joint ventures include: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4"/>
                <w:numId w:val="2"/>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proposed investments via co-investments or joint ventures;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4"/>
                <w:numId w:val="2"/>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manner in which the scheme intends to safeguard the interest of shareholders in the instances where it may not have majority control;</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4"/>
                <w:numId w:val="2"/>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manner in which the scheme will ensure the suitability of investments undertaken by such joint ventures and how it will ensure on an ongoing basis that these reflect the investment objectives and policies of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2160" w:hanging="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
              </w:numPr>
              <w:spacing w:after="0" w:line="240" w:lineRule="auto"/>
              <w:contextualSpacing/>
              <w:jc w:val="both"/>
              <w:rPr>
                <w:rFonts w:ascii="Times New Roman Bold" w:eastAsia="Times New Roman" w:hAnsi="Times New Roman Bold" w:cs="Times New Roman"/>
                <w:b/>
                <w:smallCaps/>
                <w:kern w:val="24"/>
              </w:rPr>
            </w:pPr>
            <w:r w:rsidRPr="00614814">
              <w:rPr>
                <w:rFonts w:ascii="Times New Roman Bold" w:eastAsia="Times New Roman" w:hAnsi="Times New Roman Bold" w:cs="Times New Roman"/>
                <w:b/>
                <w:smallCaps/>
                <w:kern w:val="24"/>
              </w:rPr>
              <w:t>Conflicts of Interest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A description of the potential conflicts of interest which could arise between the AIFM, or the investment adviser, or the depositary/ prime broker, and the scheme and the manner in which these will be resolved.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involvements of the proposed officials of the scheme with the scheme’s service providers.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A description of how the AIFM ensures a fair treatment of unit-holders, and whenever a unit-holder obtains preferential treatment or the right to obtains preferential treatment, a description of that preferential treatment, the type of unit-holders who obtain such preferential treatment and, where relevant their links with the Scheme or the AIFM.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
              </w:numPr>
              <w:spacing w:after="0" w:line="240" w:lineRule="auto"/>
              <w:contextualSpacing/>
              <w:jc w:val="both"/>
              <w:rPr>
                <w:rFonts w:ascii="Times New Roman Bold" w:eastAsia="Times New Roman" w:hAnsi="Times New Roman Bold" w:cs="Times New Roman"/>
                <w:b/>
                <w:smallCaps/>
                <w:kern w:val="24"/>
              </w:rPr>
            </w:pPr>
            <w:r w:rsidRPr="00614814">
              <w:rPr>
                <w:rFonts w:ascii="Times New Roman Bold" w:eastAsia="Times New Roman" w:hAnsi="Times New Roman Bold" w:cs="Times New Roman"/>
                <w:b/>
                <w:smallCaps/>
                <w:kern w:val="24"/>
              </w:rPr>
              <w:t>Organisation of the Company [Applicable where the Scheme is established as a SICAV, INVCO, Incorporated Cell or Incorporated Cell Company]</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Date of incorporation and registration number</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Bold" w:eastAsia="Times New Roman" w:hAnsi="Times New Roman Bold" w:cs="Times New Roman"/>
                <w:b/>
                <w:smallCaps/>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share capital applicable to the scheme and the manner in which it will be financed i.e. via investor shares and founder share capital.</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Bold" w:eastAsia="Times New Roman" w:hAnsi="Times New Roman Bold" w:cs="Times New Roman"/>
                <w:b/>
                <w:smallCaps/>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Bold" w:eastAsia="Times New Roman" w:hAnsi="Times New Roman Bold" w:cs="Times New Roman"/>
                <w:b/>
                <w:smallCaps/>
                <w:kern w:val="24"/>
              </w:rPr>
            </w:pPr>
            <w:r w:rsidRPr="00614814">
              <w:rPr>
                <w:rFonts w:ascii="Times New Roman" w:eastAsia="Times New Roman" w:hAnsi="Times New Roman" w:cs="Times New Roman"/>
                <w:kern w:val="24"/>
              </w:rPr>
              <w:t>Where the scheme will be financed via investor shares, a confirmation shall be provided by the fund administrator confirming that such capital has been invested into the scheme on the first day of the scheme’s operation.</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Bold" w:eastAsia="Times New Roman" w:hAnsi="Times New Roman Bold" w:cs="Times New Roman"/>
                <w:b/>
                <w:smallCaps/>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Duration of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Bold" w:eastAsia="Times New Roman" w:hAnsi="Times New Roman Bold" w:cs="Times New Roman"/>
                <w:b/>
                <w:smallCaps/>
                <w:kern w:val="24"/>
              </w:rPr>
            </w:pPr>
            <w:r w:rsidRPr="00614814">
              <w:rPr>
                <w:rFonts w:ascii="Times New Roman" w:eastAsia="Times New Roman" w:hAnsi="Times New Roman" w:cs="Times New Roman"/>
                <w:kern w:val="24"/>
              </w:rPr>
              <w:t>Information on whether the scheme intends making further issues of shares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rights attached to the founder shares (where applicable)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Information on any possible alterations to the Memorandum and Articles of Association.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rights attached to the investor shares and variations to such class rights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Information on any alterations to the share capital of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Where the Scheme is permitted to repurchase or redeem its investor shares, a description of the procedure shall be included.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procedure concerning the closure of a sub-fund</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A description of the process of the liquidation of the scheme and of the sub-funds.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A66689" w:rsidRDefault="00D1124F" w:rsidP="00496921">
            <w:pPr>
              <w:numPr>
                <w:ilvl w:val="0"/>
                <w:numId w:val="1"/>
              </w:numPr>
              <w:spacing w:after="0" w:line="240" w:lineRule="auto"/>
              <w:contextualSpacing/>
              <w:jc w:val="both"/>
              <w:rPr>
                <w:rFonts w:ascii="Times New Roman Bold" w:eastAsia="Times New Roman" w:hAnsi="Times New Roman Bold" w:cs="Times New Roman"/>
                <w:b/>
                <w:smallCaps/>
                <w:kern w:val="24"/>
              </w:rPr>
            </w:pPr>
            <w:r w:rsidRPr="00A66689">
              <w:rPr>
                <w:rFonts w:ascii="Times New Roman Bold" w:eastAsia="Times New Roman" w:hAnsi="Times New Roman Bold" w:cs="Times New Roman"/>
                <w:b/>
                <w:smallCaps/>
                <w:kern w:val="24"/>
              </w:rPr>
              <w:t>Additional Information to be included where the scheme is established as a self-managed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A66689"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A66689">
              <w:rPr>
                <w:rFonts w:ascii="Times New Roman" w:eastAsia="Times New Roman" w:hAnsi="Times New Roman" w:cs="Times New Roman"/>
                <w:kern w:val="24"/>
              </w:rPr>
              <w:t>Where the scheme is established as a self-managed AIF, include details: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6"/>
              </w:numPr>
              <w:spacing w:after="0" w:line="240" w:lineRule="auto"/>
              <w:ind w:left="1418"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of the members of the investment committee;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6"/>
              </w:numPr>
              <w:spacing w:after="0" w:line="240" w:lineRule="auto"/>
              <w:ind w:left="1418"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an overview of the experience of the members of the investment committee;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6"/>
              </w:numPr>
              <w:spacing w:after="0" w:line="240" w:lineRule="auto"/>
              <w:ind w:left="1418"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an outline of the person(s) responsible for the day-to-day management of the assets of the scheme.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2160" w:hanging="720"/>
              <w:contextualSpacing/>
              <w:jc w:val="both"/>
              <w:rPr>
                <w:rFonts w:ascii="Times New Roman Bold" w:eastAsia="Times New Roman" w:hAnsi="Times New Roman Bold" w:cs="Times New Roman"/>
                <w:b/>
                <w:smallCaps/>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
              </w:numPr>
              <w:spacing w:after="0" w:line="240" w:lineRule="auto"/>
              <w:contextualSpacing/>
              <w:jc w:val="both"/>
              <w:rPr>
                <w:rFonts w:ascii="Times New Roman Bold" w:eastAsia="Times New Roman" w:hAnsi="Times New Roman Bold" w:cs="Times New Roman"/>
                <w:b/>
                <w:smallCaps/>
                <w:kern w:val="24"/>
              </w:rPr>
            </w:pPr>
            <w:r w:rsidRPr="00614814">
              <w:rPr>
                <w:rFonts w:ascii="Times New Roman Bold" w:eastAsia="Times New Roman" w:hAnsi="Times New Roman Bold" w:cs="Times New Roman"/>
                <w:b/>
                <w:smallCaps/>
                <w:kern w:val="24"/>
              </w:rPr>
              <w:t>Distributions and Dividends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statement whether the income will be reinvested or paid to the shareholders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Distribution dates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Any time limits (where applicable) after which the entitlement to the dividend lapses and the procedure to be followed in such case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method of payment of dividends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2160" w:hanging="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b/>
                <w:smallCaps/>
                <w:kern w:val="24"/>
              </w:rPr>
              <w:t>|Information concerning the Service Providers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smallCaps/>
                <w:kern w:val="24"/>
              </w:rPr>
            </w:pPr>
            <w:r w:rsidRPr="00614814">
              <w:rPr>
                <w:rFonts w:ascii="Times New Roman" w:eastAsia="Times New Roman" w:hAnsi="Times New Roman" w:cs="Times New Roman"/>
                <w:b/>
                <w:smallCaps/>
                <w:kern w:val="24"/>
              </w:rPr>
              <w:t>AIFM</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b/>
                <w:smallCaps/>
                <w:kern w:val="24"/>
              </w:rPr>
            </w:pPr>
            <w:r w:rsidRPr="00614814">
              <w:rPr>
                <w:rFonts w:ascii="Times New Roman" w:eastAsia="Times New Roman" w:hAnsi="Times New Roman" w:cs="Times New Roman"/>
                <w:kern w:val="24"/>
              </w:rPr>
              <w:t>Name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b/>
                <w:smallCaps/>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b/>
                <w:smallCaps/>
                <w:kern w:val="24"/>
              </w:rPr>
            </w:pPr>
            <w:r w:rsidRPr="00614814">
              <w:rPr>
                <w:rFonts w:ascii="Times New Roman" w:eastAsia="Times New Roman" w:hAnsi="Times New Roman" w:cs="Times New Roman"/>
                <w:kern w:val="24"/>
              </w:rPr>
              <w:t>Details on the regulatory status i.e. whether licenced by the MFSA or in another Member State or EEA State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b/>
                <w:smallCaps/>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The members of the board of directors of the AIFM with a brief description of their qualifications and experience.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confirmation that the cover potential professional liability risks resulting from the activities which the AIFM may carry out, it shall either have additional own funds or hold a professional indemnity insurance in accordance with the provision of Article 9 of the AIFMD</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2160" w:hanging="720"/>
              <w:contextualSpacing/>
              <w:jc w:val="both"/>
              <w:rPr>
                <w:rFonts w:ascii="Times New Roman" w:eastAsia="Times New Roman" w:hAnsi="Times New Roman" w:cs="Times New Roman"/>
                <w:b/>
                <w:smallCaps/>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Where the scheme is established as a loan fund, information on the experience of the AIFM to manage a loan fund and in relation to the credit assessment, credit provisioning monitoring and control of exposures.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duties which the AIFM will be carrying out.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any delegated management function by the AIFM</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Identification of the delegate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Disclosure of any conflicts of interest which may arise because of such delegation.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Jurisdiction regulating the investment management agreement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Information concerning the nature, amount and the basis of calculation in respect of remuneration payable by the scheme to the AIFM (or in the case of a self-managed scheme, the investment committee), and in respect of the reimbursement of costs by the scheme to the AIFM.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b/>
                <w:smallCaps/>
                <w:kern w:val="24"/>
              </w:rPr>
              <w:t>The Administrator</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Name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Details on the regulatory status i.e. whether in possession of a recognition certificate issued in terms of the Investment Services Act.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duties which the administrator will be carrying out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any indemnities due to the fund administrator</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statement indicating whether the administrator is appointed by the scheme or the AIFM</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Termination of the administration agreement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Jurisdiction regulating the administration agreement.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Information concerning the nature, amount and the basis of calculation in respect of remuneration payable by the scheme to the administrator.</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b/>
                <w:smallCaps/>
                <w:kern w:val="24"/>
              </w:rPr>
              <w:t>Depositary</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Name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smallCaps/>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b/>
                <w:smallCaps/>
                <w:kern w:val="24"/>
              </w:rPr>
            </w:pPr>
            <w:r w:rsidRPr="00614814">
              <w:rPr>
                <w:rFonts w:ascii="Times New Roman" w:eastAsia="Times New Roman" w:hAnsi="Times New Roman" w:cs="Times New Roman"/>
                <w:kern w:val="24"/>
              </w:rPr>
              <w:t>Details on the regulatory status of the depositary</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smallCaps/>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Duties of the depositary in terms of the Depositary Agreement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Information of any arrangement made by the depositary to contractually discharge itself of liability as well as any changes to the liability of the depositary.</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Details of any delegation of the safe-keeping function to the sub-custodian</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Name of the sub-custodian</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Disclosure of any conflicts of interest which may arise because of such delegation.</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Details of the termination of the Depositary Agreement. It is important that this clause is in line with the provisions of the Investment Services Act (Custodians of Collective Investment Schemes) Regulations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Details concerning the reimbursement of any expenses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Jurisdiction regulating the depositary agreement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Information concerning the global custodian and other sub-custodians.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Where a prime broker is appointed the following information shall be provided:</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2"/>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information on the identity of the prime broker;</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2"/>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any material arrangements of the scheme with its prime brokers and the way the conflicts of interest in relation thereto are managed;</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2"/>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information on the provision in the contract with the depositary on the possibility of transfer and reuse of the scheme’s assets;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2"/>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information on any transfer of liability to the prime broker that may exist.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2160" w:hanging="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Information concerning the nature, amount and the basis of calculation in respect of remuneration payable by the scheme to the depositary, and in respect of the reimbursement of costs by the scheme to the depositary.</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b/>
                <w:smallCaps/>
                <w:kern w:val="24"/>
              </w:rPr>
              <w:t>Other service providers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Name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Legal Form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Registered Office and where applicable head office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Information as to whether the service provider is part of a group including the name of that group;</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Regulatory status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2160" w:hanging="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duties of these service providers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 the case of the investment adviser, a statement indicating whether the investment adviser/ the administrator is appointed by the scheme or the AIFM.</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jc w:val="both"/>
              <w:rPr>
                <w:rFonts w:ascii="Times New Roman" w:eastAsia="Times New Roman" w:hAnsi="Times New Roman" w:cs="Times New Roman"/>
                <w:kern w:val="24"/>
              </w:rPr>
            </w:pPr>
            <w:r w:rsidRPr="00614814">
              <w:rPr>
                <w:rFonts w:ascii="Times New Roman" w:eastAsia="Times New Roman" w:hAnsi="Times New Roman" w:cs="Times New Roman"/>
                <w:kern w:val="24"/>
              </w:rPr>
              <w:t>Where one or more service providers have not been appointed, a description on how the functions normally undertaken by each service provider will be carried out.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Indication of the duration of the appointment where limited</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Information concerning the nature, amount and the basis of calculation in respect of remuneration payable by the scheme to adviser.</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
              </w:numPr>
              <w:spacing w:after="0" w:line="240" w:lineRule="auto"/>
              <w:contextualSpacing/>
              <w:jc w:val="both"/>
              <w:rPr>
                <w:rFonts w:ascii="Times New Roman" w:eastAsia="Times New Roman" w:hAnsi="Times New Roman" w:cs="Times New Roman"/>
                <w:b/>
                <w:smallCaps/>
                <w:kern w:val="24"/>
              </w:rPr>
            </w:pPr>
            <w:r w:rsidRPr="00614814">
              <w:rPr>
                <w:rFonts w:ascii="Times New Roman" w:eastAsia="Times New Roman" w:hAnsi="Times New Roman" w:cs="Times New Roman"/>
                <w:b/>
                <w:smallCaps/>
                <w:kern w:val="24"/>
              </w:rPr>
              <w:t>Officers of the Scheme (where the scheme is established as a SICAV, INVCO, Incorporated Cell or Incorporated Cell Company)</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b/>
                <w:smallCaps/>
                <w:kern w:val="24"/>
              </w:rPr>
            </w:pPr>
            <w:r w:rsidRPr="00614814">
              <w:rPr>
                <w:rFonts w:ascii="Times New Roman" w:eastAsia="Times New Roman" w:hAnsi="Times New Roman" w:cs="Times New Roman"/>
                <w:kern w:val="24"/>
              </w:rPr>
              <w:t>Names of the directors of the scheme and a brief description of their duties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b/>
                <w:smallCaps/>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b/>
                <w:smallCaps/>
                <w:kern w:val="24"/>
              </w:rPr>
            </w:pPr>
            <w:r w:rsidRPr="00614814">
              <w:rPr>
                <w:rFonts w:ascii="Times New Roman" w:eastAsia="Times New Roman" w:hAnsi="Times New Roman" w:cs="Times New Roman"/>
                <w:kern w:val="24"/>
              </w:rPr>
              <w:t>Name of the Company Secretary of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Where the scheme has appointed one or more corporate directors, this section should include brief details on the corporate director and its directors, including a brief description of the nature/ objects of the company.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 the case of a corporate director with nominee shareholders and directors, this section should either disclose the ultimate beneficial owners of the corporate director or include a statement that such information will be available upon request.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
              </w:numPr>
              <w:spacing w:after="0" w:line="240" w:lineRule="auto"/>
              <w:contextualSpacing/>
              <w:jc w:val="both"/>
              <w:rPr>
                <w:rFonts w:ascii="Times New Roman" w:eastAsia="Times New Roman" w:hAnsi="Times New Roman" w:cs="Times New Roman"/>
                <w:b/>
                <w:smallCaps/>
                <w:kern w:val="24"/>
              </w:rPr>
            </w:pPr>
            <w:r w:rsidRPr="00614814">
              <w:rPr>
                <w:rFonts w:ascii="Times New Roman" w:eastAsia="Times New Roman" w:hAnsi="Times New Roman" w:cs="Times New Roman"/>
                <w:b/>
                <w:smallCaps/>
                <w:kern w:val="24"/>
              </w:rPr>
              <w:t>Additional Information required where the scheme is established as a Limited Partnership</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b/>
                <w:smallCaps/>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jc w:val="both"/>
              <w:rPr>
                <w:rFonts w:ascii="Times New Roman" w:eastAsia="Times New Roman" w:hAnsi="Times New Roman" w:cs="Times New Roman"/>
                <w:b/>
                <w:smallCaps/>
                <w:kern w:val="24"/>
              </w:rPr>
            </w:pPr>
            <w:r w:rsidRPr="00614814">
              <w:rPr>
                <w:rFonts w:ascii="Times New Roman" w:eastAsia="Times New Roman" w:hAnsi="Times New Roman" w:cs="Times New Roman"/>
                <w:kern w:val="24"/>
              </w:rPr>
              <w:t xml:space="preserve">Where the scheme is established as a limited partnership, include brief details of the general partner(s).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b/>
                <w:smallCaps/>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Where the scheme has appointed one or more corporate general partner(s), include brief details on the corporate general partner(s) and its directors, including a brief description of the nature/ objects of the company.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 the case of corporate general partner(s) with nominee shareholders and directors, either disclose the ultimate beneficial owners of the corporate general partner(s) or include a statement that such information will be available upon request.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b/>
                <w:smallCaps/>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b/>
                <w:smallCaps/>
                <w:kern w:val="24"/>
              </w:rPr>
              <w:t>Transparency and Reporting</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relevant accounting date(s) for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annual accounting date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date of the initial annual report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interim accounting date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date of the initial interim report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Information on where the following documents can be obtained (unless not included with the application):</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3"/>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Instruments of incorporation of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3"/>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latest annual report/ half-yearly report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3"/>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latest net asset value of the scheme, or the latest market price per unit of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3"/>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The historical performance of the scheme (where applicable)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1276"/>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AIFM shall disclose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4"/>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percentage of the Scheme’s assets which are subject to special arrangements arising from their illiquid nature;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4"/>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any new arrangements for managing the liquidity of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4"/>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current risk profile of the Scheme and the risk management systems employed by the AIFM to manage those risks.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1276"/>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rPr>
          <w:trHeight w:val="1002"/>
        </w:trPr>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Where the AIFM manages, and markets an EU AIF which employs leverage it shall provide information on:</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5"/>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any changes to the maximum level of leverage which the AIFM may employ on behalf of the scheme as well as any right of reuse of collateral or any guarantee under the leveraging arrangement;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5"/>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total amount of leverage employed by that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b/>
                <w:smallCaps/>
                <w:kern w:val="24"/>
              </w:rPr>
              <w:t>Subscription and Redemption Procedures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b/>
                <w:smallCaps/>
                <w:kern w:val="24"/>
              </w:rPr>
            </w:pPr>
            <w:r w:rsidRPr="00614814">
              <w:rPr>
                <w:rFonts w:ascii="Times New Roman" w:eastAsia="Times New Roman" w:hAnsi="Times New Roman" w:cs="Times New Roman"/>
                <w:kern w:val="24"/>
              </w:rPr>
              <w:t>A description of the scheme’s liquidity risk management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b/>
                <w:smallCaps/>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A description of the subscription procedure applicable for purchases of investor shares.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Where applicable a description of the different share classes which the scheme may establish together with the differentiating factors between share classes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Where applicable details of the types and main characteristics of the units including:</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3"/>
              </w:numPr>
              <w:spacing w:after="0" w:line="240" w:lineRule="auto"/>
              <w:ind w:left="1276" w:hanging="567"/>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indication of the voting rights, if any of the unitholders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3"/>
              </w:numPr>
              <w:spacing w:after="0" w:line="240" w:lineRule="auto"/>
              <w:ind w:left="1276" w:hanging="567"/>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nature of the right represented by the units;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Where has issued “Voting Shares” to the promoters and “non-Voting Shares” to prospective investors, a statement identifying the holders of the “Voting Shares” of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If the “Voting Shares” are held by a corporate entity or a trustee, the offering document may include the name of the said corporate entity/ trustee without disclosing the names of the individual beneficial owners/ beneficiaries.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An indication that the identity of the ultimate beneficial owners of the holders of “Voting Shares” will be disclosed upon request.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BE5A12"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BE5A12">
              <w:rPr>
                <w:rFonts w:ascii="Times New Roman" w:eastAsia="Times New Roman" w:hAnsi="Times New Roman" w:cs="Times New Roman"/>
                <w:kern w:val="24"/>
              </w:rPr>
              <w:t xml:space="preserve">An indication whether the scheme shall have a minimum commitment amount in order to be able to launch and whether the scheme would actually be launched if the minimum commitment about is not reached.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Where the scheme is established as a SICAV and has opted to issue shares subject to full payment by a settlement date, in accordance with regulation 16 of the Companies Act (Investment Companies with Variable Share Capital) Regulations, indicate, the settlement date by which payment of the full subscription price is to be received, which date cannot be later than five working days from the date of issue of those shares.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kern w:val="24"/>
              </w:rPr>
              <w:t>An indication whether the company shall accept investments in currencies which are not the base currency and any applicable conditions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following information shall be provided in relation to subscriptions: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6"/>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an indication of the dealing days (where applicable)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6"/>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information relating to any maximum subscription charges and the initial offer price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6"/>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information concerning the duration of the initial offer period together with an indication whether it will be possible for the scheme to commence investing the subscribers’ subscriptions during the initial offer period;</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6"/>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types and main characteristics of the units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6"/>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any settlement periods which are applicable to investors.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1276"/>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b/>
                <w:kern w:val="24"/>
              </w:rPr>
              <w:t>Subscribers’ Undertakings and warranties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risk warning to subscribers in relation to the signing and completion of the applicable Investor Declaration Forms.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A statement that subscribers will not be issued with share certificates unless the subscriber makes a specific request in writing to the Scheme for the issue of such share certificate.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b/>
                <w:kern w:val="24"/>
              </w:rPr>
              <w:t>Subscriptions in specie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statement whether it will be possible for the scheme to accept subscriptions in specie and the relevant applicable provisions.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valuer which the Scheme will be appointing for drawing up the report on any consideration other than cash</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7"/>
              </w:numPr>
              <w:tabs>
                <w:tab w:val="left" w:pos="1418"/>
              </w:tabs>
              <w:spacing w:after="0" w:line="240" w:lineRule="auto"/>
              <w:ind w:left="1418" w:hanging="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valuer needs to be independent of the scheme, its officials or any other service providers of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7"/>
              </w:numPr>
              <w:tabs>
                <w:tab w:val="left" w:pos="1418"/>
              </w:tabs>
              <w:spacing w:after="0" w:line="240" w:lineRule="auto"/>
              <w:ind w:left="1418" w:hanging="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valuer needs to be of good standing with recognised and relevant qualifications and an authorised member of a Recognised Professional Body in the jurisdiction of the assets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7"/>
              </w:numPr>
              <w:tabs>
                <w:tab w:val="left" w:pos="1418"/>
              </w:tabs>
              <w:spacing w:after="0" w:line="240" w:lineRule="auto"/>
              <w:ind w:left="1418" w:hanging="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valuer shall be appointed by the Directors of the Scheme subject to the approval of the appointment by the auditors of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tabs>
                <w:tab w:val="left" w:pos="1418"/>
              </w:tabs>
              <w:spacing w:after="0" w:line="240" w:lineRule="auto"/>
              <w:ind w:left="1418"/>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contents of the report which shall include: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8"/>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each of the assets comprising the consideration</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8"/>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value of each asset and a description of the method of valuation used;</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8"/>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a confirmation that the value of the consideration is at least equal to the net asset value of the shares to be issued in return for such consideration.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1276"/>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statement that the report shall be held in Malta at the registered office of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statement that shares on the scheme shall only be used in favour of the investor once the assets referred to in the valuer’s report have been transferred in favour of the scheme to the satisfaction of the depositary and/or prime broker (where applicable).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b/>
                <w:kern w:val="24"/>
              </w:rPr>
              <w:t>Exchange of shares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Disclose details of procedures for the exchange of shares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A description of the manner the number of New Shares to be issued on exchange and any fees and charges applicable.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b/>
                <w:kern w:val="24"/>
              </w:rPr>
              <w:t>Transfer of shares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Information whether an independent market for the transfer of shares exists and the procedure applicable in the case of transfer of shares.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Outline the procedure applicable in instances where the directors decline to register shares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b/>
                <w:kern w:val="24"/>
              </w:rPr>
              <w:t>Eligible investors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kern w:val="24"/>
              </w:rPr>
              <w:t xml:space="preserve">A description of the investors eligible to invest in the scheme.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Information on the minimum initial holding requirement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kern w:val="24"/>
              </w:rPr>
              <w:t xml:space="preserve">A description of the minimum holding requirements which is applicable at all times.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Information on whether the Board of Directors will permit lesser additional subscriptions or redemptions where deemed appropriate.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b/>
                <w:kern w:val="24"/>
              </w:rPr>
              <w:t>Redemption procedures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kern w:val="24"/>
              </w:rPr>
              <w:t>A description of the redemption procedures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kern w:val="24"/>
              </w:rPr>
              <w:t xml:space="preserve">A description of the redemption rights both in normal and in exceptional circumstances including the existing redemption arrangements with investors.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A description of the redemption price and any maximum redemption charges.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A description of the redemption facilities which will be provided to investors (where applicable).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b/>
                <w:kern w:val="24"/>
              </w:rPr>
              <w:t>Redemptions in specie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Information whether the directors may determine that the payment of the redemption proceeds to any Shareholder may, subject to specific conditions being satisfied, be made wholly or partially in specie.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procedure applicable to redemptions in specie.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2160" w:hanging="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b/>
                <w:kern w:val="24"/>
              </w:rPr>
              <w:t>Deferral of redemptions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The procedure applicable where the directors opt to limit the total amount of redemptions on any Redemption Day.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b/>
                <w:kern w:val="24"/>
              </w:rPr>
              <w:t>Temporary suspension in redemptions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applicable procedure where the Scheme suspends the calculation of the NAV of the Scheme or Sub-Fund and the right of any Shareholder to require redemption of any Investor Share and the issue of Investor Shares.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b/>
                <w:kern w:val="24"/>
              </w:rPr>
              <w:t>Compulsory redemption</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The procedure applicable to the case where the scheme reserves the right to require shareholders to redeem the total shareholding.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2160" w:hanging="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b/>
                <w:kern w:val="24"/>
              </w:rPr>
              <w:t>Suspension of redemption requests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The procedure applicable to suspension of redemption requests.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b/>
                <w:kern w:val="24"/>
              </w:rPr>
              <w:t>Publication of NAV</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Details on where investors can find information regarding the NAV per share as determined on each valuation day</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2160" w:hanging="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b/>
                <w:kern w:val="24"/>
              </w:rPr>
              <w:t>Valuation of assets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Rules for the valuation of assets including a description of the valuation procedure to ensure a proper and independent valuation of the assets of the scheme. The following information shall be provided:</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5"/>
              </w:numPr>
              <w:tabs>
                <w:tab w:val="left" w:pos="709"/>
              </w:tabs>
              <w:spacing w:after="0" w:line="240" w:lineRule="auto"/>
              <w:ind w:hanging="578"/>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methodology and frequency applied to the valuation of assets and the manner in which the net asset value per unit or share of the scheme is carried out;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5"/>
              </w:numPr>
              <w:tabs>
                <w:tab w:val="left" w:pos="709"/>
              </w:tabs>
              <w:spacing w:after="0" w:line="240" w:lineRule="auto"/>
              <w:ind w:hanging="578"/>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pricing methodology for valuing the assets including the methods used in relation to hard-to-value assets as indicated in the instruments of incorporation;</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5"/>
              </w:numPr>
              <w:tabs>
                <w:tab w:val="left" w:pos="709"/>
              </w:tabs>
              <w:spacing w:after="0" w:line="240" w:lineRule="auto"/>
              <w:ind w:hanging="578"/>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confirmation that the assets are valued and the net asset value per unit or share is calculated as least on a yearly basis;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5"/>
              </w:numPr>
              <w:tabs>
                <w:tab w:val="left" w:pos="709"/>
              </w:tabs>
              <w:spacing w:after="0" w:line="240" w:lineRule="auto"/>
              <w:ind w:hanging="578"/>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information on the external valuer where this is appointed;</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2160" w:hanging="720"/>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
              </w:numPr>
              <w:spacing w:after="0" w:line="240" w:lineRule="auto"/>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b/>
                <w:smallCaps/>
                <w:kern w:val="24"/>
              </w:rPr>
              <w:t>Risk Factors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section on risk factors should provide a detailed and clear indication of the principal risks associated with investing in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In the case where the scheme will not be operating within the principle of risk spreading, the offering document shall include a relevant risk warning to that effect.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In the case where the scheme will be investing in collective investments which are unregulated, include a risk warning to that effect. Risk warnings shall also be included in relation to any underlying fees when the scheme invests in other collective investment schemes.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 the case where the scheme is established as a loan fund, include a risk warning which draws the attention of investors on the high risk inherent to this type of collective investment schemes and how investment in loan funds is not guaranteed and subject to the possibility of losses.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The following risk warnings shall be included where applicable: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4"/>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risk warning of the limited transferability of the investor shares where applicable;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4"/>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a risk warning on the illiquidity of shares and no secondary market.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4"/>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risk warning to the effect that the scheme can defer, suspend or limit the redemption of investor shares in the case of substantial redemptions.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4"/>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interest rate risks;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4"/>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exchange rate fluctuations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4"/>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credit risks;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4"/>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interest rate risks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4"/>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borrowing and leverage risks;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4"/>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any losses which can arise because of the investment policy of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4"/>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trading risks;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4"/>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liquidity of investments;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4"/>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risk stemming from the use of derivatives, futures and options;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4"/>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risk stemming from the dependence on key individuals;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4"/>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fee structure and who will bear costs;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4"/>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risk on significant shareholdings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In the case where the scheme will be applying any performance fees, include a risk warning stating that the amount of the performance fee payable to the AIFM will not be subject to any cap or maximum amount and that the performance fee payable to the AIFM may incentivise the AIFM to take higher risks.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risk warning (where applicable) that the scheme does not operate an equalisation account nor any other method to ensure the equal treatment for the payment of performance fees irrespective of the timing of the application for or redemption of shares of the scheme and that when purchasing and/or redeeming shares in the scheme, shareholders may accordingly indirectly underpay or overpay an under-performance accrual or an over-performance accrual.</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Where it is possible for the scheme to enter agreements with investors for committing funds for the subscription at a future date to units at a specific price, a risk warning should be made to the effect that should the scheme issue units at a discount with respect to its current </w:t>
            </w:r>
            <w:smartTag w:uri="urn:schemas-microsoft-com:office:smarttags" w:element="stockticker">
              <w:r w:rsidRPr="00614814">
                <w:rPr>
                  <w:rFonts w:ascii="Times New Roman" w:eastAsia="Times New Roman" w:hAnsi="Times New Roman" w:cs="Times New Roman"/>
                  <w:kern w:val="24"/>
                </w:rPr>
                <w:t>NAV</w:t>
              </w:r>
            </w:smartTag>
            <w:r w:rsidRPr="00614814">
              <w:rPr>
                <w:rFonts w:ascii="Times New Roman" w:eastAsia="Times New Roman" w:hAnsi="Times New Roman" w:cs="Times New Roman"/>
                <w:kern w:val="24"/>
              </w:rPr>
              <w:t>, in terms of the such agreements, there will be a risk of dilution to the net asset value of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There should also be a clear risk warning that while investors entering into an agreement with the scheme for the purpose of committing funds for the subscription at a future date to units at a specific price, would in effect be subscribing for such units at a discount if the </w:t>
            </w:r>
            <w:smartTag w:uri="urn:schemas-microsoft-com:office:smarttags" w:element="stockticker">
              <w:r w:rsidRPr="00614814">
                <w:rPr>
                  <w:rFonts w:ascii="Times New Roman" w:eastAsia="Times New Roman" w:hAnsi="Times New Roman" w:cs="Times New Roman"/>
                  <w:kern w:val="24"/>
                </w:rPr>
                <w:t>NAV</w:t>
              </w:r>
            </w:smartTag>
            <w:r w:rsidRPr="00614814">
              <w:rPr>
                <w:rFonts w:ascii="Times New Roman" w:eastAsia="Times New Roman" w:hAnsi="Times New Roman" w:cs="Times New Roman"/>
                <w:kern w:val="24"/>
              </w:rPr>
              <w:t xml:space="preserve"> per unit prevailing at the time the draw-down request is made, exceeds the price at which the investor had agreed to subscribe for units in terms of such agreement, on the other hand, if the </w:t>
            </w:r>
            <w:smartTag w:uri="urn:schemas-microsoft-com:office:smarttags" w:element="stockticker">
              <w:r w:rsidRPr="00614814">
                <w:rPr>
                  <w:rFonts w:ascii="Times New Roman" w:eastAsia="Times New Roman" w:hAnsi="Times New Roman" w:cs="Times New Roman"/>
                  <w:kern w:val="24"/>
                </w:rPr>
                <w:t>NAV</w:t>
              </w:r>
            </w:smartTag>
            <w:r w:rsidRPr="00614814">
              <w:rPr>
                <w:rFonts w:ascii="Times New Roman" w:eastAsia="Times New Roman" w:hAnsi="Times New Roman" w:cs="Times New Roman"/>
                <w:kern w:val="24"/>
              </w:rPr>
              <w:t xml:space="preserve"> per unit at the time a draw-down request is made is lower than the price at which the investor had agreed to subscribe for units in terms of such agreement, the investor would, in effect, be paying a premium for such units.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b/>
                <w:smallCaps/>
                <w:kern w:val="24"/>
              </w:rPr>
              <w:t>Fees, Charges and Expenses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A description of all fees, charges and expenses and of the maximum amounts thereof which are directly or indirectly borne by investors.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b/>
                <w:smallCaps/>
                <w:kern w:val="24"/>
              </w:rPr>
            </w:pPr>
            <w:r w:rsidRPr="00614814">
              <w:rPr>
                <w:rFonts w:ascii="Times New Roman" w:eastAsia="Times New Roman" w:hAnsi="Times New Roman" w:cs="Times New Roman"/>
                <w:kern w:val="24"/>
              </w:rPr>
              <w:t>A description of the investment management fees including the fee payable to the sub-manager.</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 the case where the scheme is self-managed, include details of the maximum fees paid to the investment committee members and the portfolio manager.</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b/>
                <w:smallCaps/>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details of any applicable performance fees including the amount and manner in which the performance fee is calculated;</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b/>
                <w:smallCaps/>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b/>
                <w:smallCaps/>
                <w:kern w:val="24"/>
              </w:rPr>
            </w:pPr>
            <w:r w:rsidRPr="00614814">
              <w:rPr>
                <w:rFonts w:ascii="Times New Roman" w:eastAsia="Times New Roman" w:hAnsi="Times New Roman" w:cs="Times New Roman"/>
                <w:kern w:val="24"/>
              </w:rPr>
              <w:t>The procedure applicable in the case of alterations to the investment management and performance fee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b/>
                <w:smallCaps/>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b/>
                <w:smallCaps/>
                <w:kern w:val="24"/>
              </w:rPr>
            </w:pPr>
            <w:r w:rsidRPr="00614814">
              <w:rPr>
                <w:rFonts w:ascii="Times New Roman" w:eastAsia="Times New Roman" w:hAnsi="Times New Roman" w:cs="Times New Roman"/>
                <w:kern w:val="24"/>
              </w:rPr>
              <w:t>A description of the administration fees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b/>
                <w:smallCaps/>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b/>
                <w:smallCaps/>
                <w:kern w:val="24"/>
              </w:rPr>
            </w:pPr>
            <w:r w:rsidRPr="00614814">
              <w:rPr>
                <w:rFonts w:ascii="Times New Roman" w:eastAsia="Times New Roman" w:hAnsi="Times New Roman" w:cs="Times New Roman"/>
                <w:kern w:val="24"/>
              </w:rPr>
              <w:t>A description of the company secretarial fee (where the scheme is established as a SICAV)</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b/>
                <w:smallCaps/>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b/>
                <w:smallCaps/>
                <w:kern w:val="24"/>
              </w:rPr>
            </w:pPr>
            <w:r w:rsidRPr="00614814">
              <w:rPr>
                <w:rFonts w:ascii="Times New Roman" w:eastAsia="Times New Roman" w:hAnsi="Times New Roman" w:cs="Times New Roman"/>
                <w:kern w:val="24"/>
              </w:rPr>
              <w:t>A description of the prime brokerage and depositary fee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fees and expenses payable to the members of the governing body of the scheme or at least an aggregate or a maximum amount of such fees;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Details of the fees payable by the scheme relating to authorised distributor fees, introducers, etc.</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manner in which such fees will be paid and accrued;</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Details of the basis of the fee calculation;</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in the case of differing initial/ exit/ authorised distributor/ management/ performance fees for different share classes, a description of such fees per each share class. Furthermore, include a description of the entry eligibility criteria applicable for each investor class.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 the case of an umbrella scheme, the charges applicable to the switching of investments from one sub-fund to another</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Any other fees and expenses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2160" w:hanging="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
              </w:numPr>
              <w:spacing w:after="0" w:line="240" w:lineRule="auto"/>
              <w:contextualSpacing/>
              <w:jc w:val="both"/>
              <w:rPr>
                <w:rFonts w:ascii="Times New Roman Bold" w:eastAsia="Times New Roman" w:hAnsi="Times New Roman Bold" w:cs="Times New Roman"/>
                <w:b/>
                <w:smallCaps/>
                <w:kern w:val="24"/>
              </w:rPr>
            </w:pPr>
            <w:r w:rsidRPr="00614814">
              <w:rPr>
                <w:rFonts w:ascii="Times New Roman Bold" w:eastAsia="Times New Roman" w:hAnsi="Times New Roman Bold" w:cs="Times New Roman"/>
                <w:b/>
                <w:smallCaps/>
                <w:kern w:val="24"/>
              </w:rPr>
              <w:t>Anti-Money Laundering and Data Protection</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A description of the obligations of the AIFM and the Administrator to fulfil the obligations pursuant to the Prevention of Money Laundering Act and the Prevention of Money Laundering and Funding of Terrorism Regulations.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A description of the applicable requirements for the prevention of money laundering.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obligations relating to data protection to be complied with by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
              </w:numPr>
              <w:spacing w:after="0" w:line="240" w:lineRule="auto"/>
              <w:contextualSpacing/>
              <w:jc w:val="both"/>
              <w:rPr>
                <w:rFonts w:ascii="Times New Roman" w:eastAsia="Times New Roman" w:hAnsi="Times New Roman" w:cs="Times New Roman"/>
                <w:kern w:val="24"/>
              </w:rPr>
            </w:pPr>
            <w:r w:rsidRPr="00614814">
              <w:rPr>
                <w:rFonts w:ascii="Times New Roman Bold" w:eastAsia="Times New Roman" w:hAnsi="Times New Roman Bold" w:cs="Times New Roman"/>
                <w:b/>
                <w:smallCaps/>
                <w:kern w:val="24"/>
              </w:rPr>
              <w:t>Taxation</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tax system which will be applicable to scheme inter alia in terms of:</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7"/>
              </w:numPr>
              <w:spacing w:after="0" w:line="240" w:lineRule="auto"/>
              <w:ind w:left="1418" w:hanging="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income tax;</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7"/>
              </w:numPr>
              <w:spacing w:after="0" w:line="240" w:lineRule="auto"/>
              <w:ind w:left="1418" w:hanging="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value added tax;</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7"/>
              </w:numPr>
              <w:spacing w:after="0" w:line="240" w:lineRule="auto"/>
              <w:ind w:left="1418" w:hanging="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duty on documents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
              </w:numPr>
              <w:spacing w:after="0" w:line="240" w:lineRule="auto"/>
              <w:contextualSpacing/>
              <w:jc w:val="both"/>
              <w:rPr>
                <w:rFonts w:ascii="Times New Roman" w:eastAsia="Times New Roman" w:hAnsi="Times New Roman" w:cs="Times New Roman"/>
                <w:kern w:val="24"/>
              </w:rPr>
            </w:pPr>
            <w:r w:rsidRPr="00614814">
              <w:rPr>
                <w:rFonts w:ascii="Times New Roman Bold" w:eastAsia="Times New Roman" w:hAnsi="Times New Roman Bold" w:cs="Times New Roman"/>
                <w:b/>
                <w:smallCaps/>
                <w:kern w:val="24"/>
              </w:rPr>
              <w:t>Determination of the Net Asset Value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method to be used for the determination of the creation, sale and issue prices and the repurchase, redemption and cancellation prices of units, in particular:</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4"/>
              </w:numPr>
              <w:spacing w:after="0" w:line="240" w:lineRule="auto"/>
              <w:ind w:left="1276" w:hanging="567"/>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method and frequency of the calculation of the net asset value;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4"/>
              </w:numPr>
              <w:spacing w:after="0" w:line="240" w:lineRule="auto"/>
              <w:ind w:left="1276" w:hanging="567"/>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information concerning the charges relating to the sale or issue and the repurchase or redemption of units; and</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4"/>
              </w:numPr>
              <w:spacing w:after="0" w:line="240" w:lineRule="auto"/>
              <w:ind w:left="1276" w:hanging="567"/>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arrangements whereby unit holders and prospective unit holders may deal.</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1276"/>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
              </w:numPr>
              <w:spacing w:after="0" w:line="240" w:lineRule="auto"/>
              <w:contextualSpacing/>
              <w:jc w:val="both"/>
              <w:rPr>
                <w:rFonts w:ascii="Times New Roman" w:eastAsia="Times New Roman" w:hAnsi="Times New Roman" w:cs="Times New Roman"/>
                <w:kern w:val="24"/>
              </w:rPr>
            </w:pPr>
            <w:r w:rsidRPr="00614814">
              <w:rPr>
                <w:rFonts w:ascii="Times New Roman Bold" w:eastAsia="Times New Roman" w:hAnsi="Times New Roman Bold" w:cs="Times New Roman"/>
                <w:b/>
                <w:smallCaps/>
                <w:kern w:val="24"/>
              </w:rPr>
              <w:t>General Information</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Where applicable a description of the dividend policy</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1276"/>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procedure applicable in the case of amendments to the Offering Memorandum and Offering Supplements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Details of the accounting reference date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2160" w:hanging="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manner in which the ownership of the units will be confirmed</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Descriptions of soft dollar arrangements (where applicable)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An indication of strategies for the exercise of voting rights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b/>
                <w:smallCaps/>
                <w:kern w:val="24"/>
              </w:rPr>
            </w:pPr>
            <w:r w:rsidRPr="00614814">
              <w:rPr>
                <w:rFonts w:ascii="Times New Roman" w:eastAsia="Times New Roman" w:hAnsi="Times New Roman" w:cs="Times New Roman"/>
                <w:kern w:val="24"/>
              </w:rPr>
              <w:t>Disclosure of the material provisions of contracts entered between third parties and the AIFM which may be relevant to the unit-holders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2160" w:hanging="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main legal implications of the contractual relationship entered for investment purposes, including information on the jurisdiction, on the applicable law and on the existence or otherwise of any legal instruments providing for the recognition and enforcement of judgements in Malta.</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Indication of the documents which will be provided prior to investment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Additional information</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
              </w:numPr>
              <w:spacing w:after="0" w:line="240" w:lineRule="auto"/>
              <w:jc w:val="both"/>
              <w:rPr>
                <w:rFonts w:ascii="Times New Roman Bold" w:eastAsia="Times New Roman" w:hAnsi="Times New Roman Bold" w:cs="Times New Roman"/>
                <w:b/>
                <w:smallCaps/>
                <w:kern w:val="24"/>
              </w:rPr>
            </w:pPr>
            <w:r w:rsidRPr="00614814">
              <w:rPr>
                <w:rFonts w:ascii="Times New Roman Bold" w:eastAsia="Times New Roman" w:hAnsi="Times New Roman Bold" w:cs="Times New Roman"/>
                <w:b/>
                <w:smallCaps/>
                <w:kern w:val="24"/>
              </w:rPr>
              <w:t>Undertakings and warranties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subscribers’ undertakings and warranties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
              </w:numPr>
              <w:spacing w:after="0" w:line="240" w:lineRule="auto"/>
              <w:jc w:val="both"/>
              <w:rPr>
                <w:rFonts w:ascii="Times New Roman" w:eastAsia="Times New Roman" w:hAnsi="Times New Roman" w:cs="Times New Roman"/>
                <w:kern w:val="24"/>
              </w:rPr>
            </w:pPr>
            <w:r w:rsidRPr="00496921">
              <w:rPr>
                <w:rFonts w:ascii="Times New Roman Bold" w:eastAsia="Times New Roman" w:hAnsi="Times New Roman Bold" w:cs="Times New Roman"/>
                <w:b/>
                <w:smallCaps/>
                <w:kern w:val="24"/>
              </w:rPr>
              <w:t>Directory</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bl>
    <w:p w:rsidR="00D1124F" w:rsidRPr="00614814" w:rsidRDefault="00D1124F" w:rsidP="00D1124F">
      <w:pPr>
        <w:spacing w:after="0" w:line="240" w:lineRule="auto"/>
        <w:contextualSpacing/>
        <w:jc w:val="both"/>
        <w:rPr>
          <w:rFonts w:ascii="Times New Roman" w:eastAsia="Times New Roman" w:hAnsi="Times New Roman" w:cs="Times New Roman"/>
          <w:b/>
          <w:smallCaps/>
          <w:kern w:val="24"/>
          <w:highlight w:val="yellow"/>
        </w:rPr>
      </w:pPr>
    </w:p>
    <w:p w:rsidR="00D1124F" w:rsidRPr="00614814" w:rsidRDefault="00D1124F" w:rsidP="00D1124F">
      <w:pPr>
        <w:spacing w:after="0" w:line="240" w:lineRule="auto"/>
        <w:jc w:val="both"/>
        <w:rPr>
          <w:rFonts w:ascii="Times New Roman" w:eastAsia="Times New Roman" w:hAnsi="Times New Roman" w:cs="Times New Roman"/>
          <w:kern w:val="24"/>
        </w:rPr>
      </w:pPr>
    </w:p>
    <w:p w:rsidR="004A479A" w:rsidRDefault="004A479A"/>
    <w:sectPr w:rsidR="004A479A" w:rsidSect="00496921">
      <w:footerReference w:type="default" r:id="rId7"/>
      <w:pgSz w:w="11906" w:h="16838"/>
      <w:pgMar w:top="1440" w:right="1440" w:bottom="1440" w:left="1440" w:header="708" w:footer="708" w:gutter="0"/>
      <w:pgBorders w:display="firstPage" w:offsetFrom="page">
        <w:top w:val="single" w:sz="4" w:space="24" w:color="auto"/>
        <w:left w:val="single" w:sz="4" w:space="24" w:color="auto"/>
        <w:bottom w:val="single" w:sz="4" w:space="24" w:color="auto"/>
        <w:right w:val="single" w:sz="4" w:space="24" w:color="auto"/>
      </w:pgBorders>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2129079"/>
      <w:docPartObj>
        <w:docPartGallery w:val="Page Numbers (Bottom of Page)"/>
        <w:docPartUnique/>
      </w:docPartObj>
    </w:sdtPr>
    <w:sdtContent>
      <w:sdt>
        <w:sdtPr>
          <w:id w:val="860082579"/>
          <w:docPartObj>
            <w:docPartGallery w:val="Page Numbers (Top of Page)"/>
            <w:docPartUnique/>
          </w:docPartObj>
        </w:sdtPr>
        <w:sdtContent>
          <w:p w:rsidR="00D1124F" w:rsidRDefault="00D1124F">
            <w:pPr>
              <w:pStyle w:val="Footer"/>
              <w:jc w:val="right"/>
            </w:pPr>
            <w:r w:rsidRPr="00E93BDE">
              <w:rPr>
                <w:rFonts w:ascii="Times New Roman" w:hAnsi="Times New Roman" w:cs="Times New Roman"/>
                <w:sz w:val="16"/>
                <w:szCs w:val="16"/>
              </w:rPr>
              <w:t xml:space="preserve">Page </w:t>
            </w:r>
            <w:r w:rsidRPr="00E93BDE">
              <w:rPr>
                <w:rFonts w:ascii="Times New Roman" w:hAnsi="Times New Roman" w:cs="Times New Roman"/>
                <w:b/>
                <w:bCs/>
                <w:sz w:val="16"/>
                <w:szCs w:val="16"/>
              </w:rPr>
              <w:fldChar w:fldCharType="begin"/>
            </w:r>
            <w:r w:rsidRPr="00E93BDE">
              <w:rPr>
                <w:rFonts w:ascii="Times New Roman" w:hAnsi="Times New Roman" w:cs="Times New Roman"/>
                <w:b/>
                <w:bCs/>
                <w:sz w:val="16"/>
                <w:szCs w:val="16"/>
              </w:rPr>
              <w:instrText xml:space="preserve"> PAGE </w:instrText>
            </w:r>
            <w:r w:rsidRPr="00E93BDE">
              <w:rPr>
                <w:rFonts w:ascii="Times New Roman" w:hAnsi="Times New Roman" w:cs="Times New Roman"/>
                <w:b/>
                <w:bCs/>
                <w:sz w:val="16"/>
                <w:szCs w:val="16"/>
              </w:rPr>
              <w:fldChar w:fldCharType="separate"/>
            </w:r>
            <w:r w:rsidR="00496921">
              <w:rPr>
                <w:rFonts w:ascii="Times New Roman" w:hAnsi="Times New Roman" w:cs="Times New Roman"/>
                <w:b/>
                <w:bCs/>
                <w:noProof/>
                <w:sz w:val="16"/>
                <w:szCs w:val="16"/>
              </w:rPr>
              <w:t>20</w:t>
            </w:r>
            <w:r w:rsidRPr="00E93BDE">
              <w:rPr>
                <w:rFonts w:ascii="Times New Roman" w:hAnsi="Times New Roman" w:cs="Times New Roman"/>
                <w:b/>
                <w:bCs/>
                <w:sz w:val="16"/>
                <w:szCs w:val="16"/>
              </w:rPr>
              <w:fldChar w:fldCharType="end"/>
            </w:r>
            <w:r w:rsidRPr="00E93BDE">
              <w:rPr>
                <w:rFonts w:ascii="Times New Roman" w:hAnsi="Times New Roman" w:cs="Times New Roman"/>
                <w:sz w:val="16"/>
                <w:szCs w:val="16"/>
              </w:rPr>
              <w:t xml:space="preserve"> of </w:t>
            </w:r>
            <w:r w:rsidRPr="00E93BDE">
              <w:rPr>
                <w:rFonts w:ascii="Times New Roman" w:hAnsi="Times New Roman" w:cs="Times New Roman"/>
                <w:b/>
                <w:bCs/>
                <w:sz w:val="16"/>
                <w:szCs w:val="16"/>
              </w:rPr>
              <w:fldChar w:fldCharType="begin"/>
            </w:r>
            <w:r w:rsidRPr="00E93BDE">
              <w:rPr>
                <w:rFonts w:ascii="Times New Roman" w:hAnsi="Times New Roman" w:cs="Times New Roman"/>
                <w:b/>
                <w:bCs/>
                <w:sz w:val="16"/>
                <w:szCs w:val="16"/>
              </w:rPr>
              <w:instrText xml:space="preserve"> NUMPAGES  </w:instrText>
            </w:r>
            <w:r w:rsidRPr="00E93BDE">
              <w:rPr>
                <w:rFonts w:ascii="Times New Roman" w:hAnsi="Times New Roman" w:cs="Times New Roman"/>
                <w:b/>
                <w:bCs/>
                <w:sz w:val="16"/>
                <w:szCs w:val="16"/>
              </w:rPr>
              <w:fldChar w:fldCharType="separate"/>
            </w:r>
            <w:r w:rsidR="00496921">
              <w:rPr>
                <w:rFonts w:ascii="Times New Roman" w:hAnsi="Times New Roman" w:cs="Times New Roman"/>
                <w:b/>
                <w:bCs/>
                <w:noProof/>
                <w:sz w:val="16"/>
                <w:szCs w:val="16"/>
              </w:rPr>
              <w:t>23</w:t>
            </w:r>
            <w:r w:rsidRPr="00E93BDE">
              <w:rPr>
                <w:rFonts w:ascii="Times New Roman" w:hAnsi="Times New Roman" w:cs="Times New Roman"/>
                <w:b/>
                <w:bCs/>
                <w:sz w:val="16"/>
                <w:szCs w:val="16"/>
              </w:rPr>
              <w:fldChar w:fldCharType="end"/>
            </w:r>
          </w:p>
        </w:sdtContent>
      </w:sdt>
    </w:sdtContent>
  </w:sdt>
  <w:p w:rsidR="00D1124F" w:rsidRDefault="00D1124F">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2C3348"/>
    <w:multiLevelType w:val="hybridMultilevel"/>
    <w:tmpl w:val="EA9C0EB4"/>
    <w:lvl w:ilvl="0" w:tplc="BF1C3B28">
      <w:start w:val="1"/>
      <w:numFmt w:val="lowerLetter"/>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E0C1918"/>
    <w:multiLevelType w:val="hybridMultilevel"/>
    <w:tmpl w:val="F98AD33E"/>
    <w:lvl w:ilvl="0" w:tplc="7D3E3356">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24515A9"/>
    <w:multiLevelType w:val="hybridMultilevel"/>
    <w:tmpl w:val="6B20230C"/>
    <w:lvl w:ilvl="0" w:tplc="63508CE0">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19045C41"/>
    <w:multiLevelType w:val="hybridMultilevel"/>
    <w:tmpl w:val="CFB86F28"/>
    <w:lvl w:ilvl="0" w:tplc="149ADF90">
      <w:start w:val="1"/>
      <w:numFmt w:val="lowerLetter"/>
      <w:lvlText w:val="(%1)"/>
      <w:lvlJc w:val="left"/>
      <w:pPr>
        <w:ind w:left="1429" w:hanging="360"/>
      </w:pPr>
      <w:rPr>
        <w:rFonts w:hint="default"/>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4" w15:restartNumberingAfterBreak="0">
    <w:nsid w:val="1E554731"/>
    <w:multiLevelType w:val="hybridMultilevel"/>
    <w:tmpl w:val="0EBA672E"/>
    <w:lvl w:ilvl="0" w:tplc="F9442F12">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5" w15:restartNumberingAfterBreak="0">
    <w:nsid w:val="20633F4C"/>
    <w:multiLevelType w:val="hybridMultilevel"/>
    <w:tmpl w:val="D3F4D810"/>
    <w:lvl w:ilvl="0" w:tplc="AD76332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3006FF7"/>
    <w:multiLevelType w:val="hybridMultilevel"/>
    <w:tmpl w:val="CCD476C8"/>
    <w:lvl w:ilvl="0" w:tplc="80A231B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59E6291"/>
    <w:multiLevelType w:val="hybridMultilevel"/>
    <w:tmpl w:val="342E3654"/>
    <w:lvl w:ilvl="0" w:tplc="80A231B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335A34E5"/>
    <w:multiLevelType w:val="hybridMultilevel"/>
    <w:tmpl w:val="D978518C"/>
    <w:lvl w:ilvl="0" w:tplc="4C4A3790">
      <w:start w:val="1"/>
      <w:numFmt w:val="lowerLetter"/>
      <w:lvlText w:val="(%1)"/>
      <w:lvlJc w:val="left"/>
      <w:pPr>
        <w:ind w:left="1636" w:hanging="360"/>
      </w:pPr>
      <w:rPr>
        <w:rFonts w:hint="default"/>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9" w15:restartNumberingAfterBreak="0">
    <w:nsid w:val="3520523C"/>
    <w:multiLevelType w:val="hybridMultilevel"/>
    <w:tmpl w:val="CCD476C8"/>
    <w:lvl w:ilvl="0" w:tplc="80A231B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42E86E74"/>
    <w:multiLevelType w:val="hybridMultilevel"/>
    <w:tmpl w:val="D3F4D810"/>
    <w:lvl w:ilvl="0" w:tplc="AD763328">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45EF16EC"/>
    <w:multiLevelType w:val="hybridMultilevel"/>
    <w:tmpl w:val="0124126E"/>
    <w:lvl w:ilvl="0" w:tplc="4E161530">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5DE44748">
      <w:start w:val="1"/>
      <w:numFmt w:val="lowerLetter"/>
      <w:lvlText w:val="(%3)"/>
      <w:lvlJc w:val="left"/>
      <w:pPr>
        <w:ind w:left="7023"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9631502"/>
    <w:multiLevelType w:val="multilevel"/>
    <w:tmpl w:val="BCEC5FCA"/>
    <w:lvl w:ilvl="0">
      <w:start w:val="1"/>
      <w:numFmt w:val="decimal"/>
      <w:lvlText w:val="%1"/>
      <w:lvlJc w:val="left"/>
      <w:pPr>
        <w:ind w:left="720" w:hanging="720"/>
      </w:pPr>
      <w:rPr>
        <w:rFonts w:hint="default"/>
        <w:b/>
      </w:rPr>
    </w:lvl>
    <w:lvl w:ilvl="1">
      <w:start w:val="1"/>
      <w:numFmt w:val="decimalZero"/>
      <w:lvlText w:val="%1.%2"/>
      <w:lvlJc w:val="left"/>
      <w:pPr>
        <w:ind w:left="720" w:hanging="720"/>
      </w:pPr>
      <w:rPr>
        <w:rFonts w:ascii="Times New Roman" w:hAnsi="Times New Roman"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FB51794"/>
    <w:multiLevelType w:val="hybridMultilevel"/>
    <w:tmpl w:val="1FB84562"/>
    <w:lvl w:ilvl="0" w:tplc="723864DC">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4" w15:restartNumberingAfterBreak="0">
    <w:nsid w:val="54481A2D"/>
    <w:multiLevelType w:val="hybridMultilevel"/>
    <w:tmpl w:val="A372FFB0"/>
    <w:lvl w:ilvl="0" w:tplc="B538C8A2">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5" w15:restartNumberingAfterBreak="0">
    <w:nsid w:val="5BBA4A94"/>
    <w:multiLevelType w:val="hybridMultilevel"/>
    <w:tmpl w:val="7D0227A4"/>
    <w:lvl w:ilvl="0" w:tplc="56627F20">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5F4B7F36"/>
    <w:multiLevelType w:val="hybridMultilevel"/>
    <w:tmpl w:val="5A1A1EE8"/>
    <w:lvl w:ilvl="0" w:tplc="4F06F360">
      <w:start w:val="1"/>
      <w:numFmt w:val="lowerRoman"/>
      <w:lvlText w:val="%1."/>
      <w:lvlJc w:val="left"/>
      <w:pPr>
        <w:ind w:left="2340" w:hanging="360"/>
      </w:pPr>
      <w:rPr>
        <w:rFonts w:hint="default"/>
      </w:rPr>
    </w:lvl>
    <w:lvl w:ilvl="1" w:tplc="08090019" w:tentative="1">
      <w:start w:val="1"/>
      <w:numFmt w:val="lowerLetter"/>
      <w:lvlText w:val="%2."/>
      <w:lvlJc w:val="left"/>
      <w:pPr>
        <w:ind w:left="3060" w:hanging="360"/>
      </w:pPr>
    </w:lvl>
    <w:lvl w:ilvl="2" w:tplc="0809001B" w:tentative="1">
      <w:start w:val="1"/>
      <w:numFmt w:val="lowerRoman"/>
      <w:lvlText w:val="%3."/>
      <w:lvlJc w:val="right"/>
      <w:pPr>
        <w:ind w:left="3780" w:hanging="180"/>
      </w:pPr>
    </w:lvl>
    <w:lvl w:ilvl="3" w:tplc="0809000F" w:tentative="1">
      <w:start w:val="1"/>
      <w:numFmt w:val="decimal"/>
      <w:lvlText w:val="%4."/>
      <w:lvlJc w:val="left"/>
      <w:pPr>
        <w:ind w:left="4500" w:hanging="360"/>
      </w:pPr>
    </w:lvl>
    <w:lvl w:ilvl="4" w:tplc="08090019" w:tentative="1">
      <w:start w:val="1"/>
      <w:numFmt w:val="lowerLetter"/>
      <w:lvlText w:val="%5."/>
      <w:lvlJc w:val="left"/>
      <w:pPr>
        <w:ind w:left="5220" w:hanging="360"/>
      </w:pPr>
    </w:lvl>
    <w:lvl w:ilvl="5" w:tplc="0809001B" w:tentative="1">
      <w:start w:val="1"/>
      <w:numFmt w:val="lowerRoman"/>
      <w:lvlText w:val="%6."/>
      <w:lvlJc w:val="right"/>
      <w:pPr>
        <w:ind w:left="5940" w:hanging="180"/>
      </w:pPr>
    </w:lvl>
    <w:lvl w:ilvl="6" w:tplc="0809000F" w:tentative="1">
      <w:start w:val="1"/>
      <w:numFmt w:val="decimal"/>
      <w:lvlText w:val="%7."/>
      <w:lvlJc w:val="left"/>
      <w:pPr>
        <w:ind w:left="6660" w:hanging="360"/>
      </w:pPr>
    </w:lvl>
    <w:lvl w:ilvl="7" w:tplc="08090019" w:tentative="1">
      <w:start w:val="1"/>
      <w:numFmt w:val="lowerLetter"/>
      <w:lvlText w:val="%8."/>
      <w:lvlJc w:val="left"/>
      <w:pPr>
        <w:ind w:left="7380" w:hanging="360"/>
      </w:pPr>
    </w:lvl>
    <w:lvl w:ilvl="8" w:tplc="0809001B" w:tentative="1">
      <w:start w:val="1"/>
      <w:numFmt w:val="lowerRoman"/>
      <w:lvlText w:val="%9."/>
      <w:lvlJc w:val="right"/>
      <w:pPr>
        <w:ind w:left="8100" w:hanging="180"/>
      </w:pPr>
    </w:lvl>
  </w:abstractNum>
  <w:abstractNum w:abstractNumId="17" w15:restartNumberingAfterBreak="0">
    <w:nsid w:val="5FAF0ABF"/>
    <w:multiLevelType w:val="multilevel"/>
    <w:tmpl w:val="04A4554A"/>
    <w:lvl w:ilvl="0">
      <w:start w:val="1"/>
      <w:numFmt w:val="decimal"/>
      <w:lvlText w:val="%1"/>
      <w:lvlJc w:val="left"/>
      <w:pPr>
        <w:ind w:left="720" w:hanging="720"/>
      </w:pPr>
      <w:rPr>
        <w:rFonts w:hint="default"/>
        <w:b/>
      </w:rPr>
    </w:lvl>
    <w:lvl w:ilvl="1">
      <w:start w:val="1"/>
      <w:numFmt w:val="lowerLetter"/>
      <w:lvlText w:val="%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BC957A1"/>
    <w:multiLevelType w:val="hybridMultilevel"/>
    <w:tmpl w:val="D10A03C0"/>
    <w:lvl w:ilvl="0" w:tplc="8F30BAF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6E1570E5"/>
    <w:multiLevelType w:val="hybridMultilevel"/>
    <w:tmpl w:val="3A86B8A4"/>
    <w:lvl w:ilvl="0" w:tplc="2FB20828">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0" w15:restartNumberingAfterBreak="0">
    <w:nsid w:val="6E7A1B5D"/>
    <w:multiLevelType w:val="hybridMultilevel"/>
    <w:tmpl w:val="0430EBC6"/>
    <w:lvl w:ilvl="0" w:tplc="149ADF9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1C604D3"/>
    <w:multiLevelType w:val="hybridMultilevel"/>
    <w:tmpl w:val="BA24AA68"/>
    <w:lvl w:ilvl="0" w:tplc="4034909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73C470D9"/>
    <w:multiLevelType w:val="hybridMultilevel"/>
    <w:tmpl w:val="BBBCBB0A"/>
    <w:lvl w:ilvl="0" w:tplc="4E161530">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4F06F360">
      <w:start w:val="1"/>
      <w:numFmt w:val="lowerRoman"/>
      <w:lvlText w:val="%3."/>
      <w:lvlJc w:val="left"/>
      <w:pPr>
        <w:ind w:left="2340" w:hanging="360"/>
      </w:pPr>
      <w:rPr>
        <w:rFonts w:hint="default"/>
      </w:rPr>
    </w:lvl>
    <w:lvl w:ilvl="3" w:tplc="A68AACC4">
      <w:start w:val="1"/>
      <w:numFmt w:val="upperLetter"/>
      <w:lvlText w:val="(%4)"/>
      <w:lvlJc w:val="left"/>
      <w:pPr>
        <w:ind w:left="2880" w:hanging="360"/>
      </w:pPr>
      <w:rPr>
        <w:rFonts w:hint="default"/>
        <w:b w:val="0"/>
        <w:smallCaps w:val="0"/>
      </w:rPr>
    </w:lvl>
    <w:lvl w:ilvl="4" w:tplc="149ADF90">
      <w:start w:val="1"/>
      <w:numFmt w:val="lowerLetter"/>
      <w:lvlText w:val="(%5)"/>
      <w:lvlJc w:val="left"/>
      <w:pPr>
        <w:ind w:left="3600" w:hanging="360"/>
      </w:pPr>
      <w:rPr>
        <w:rFonts w:hint="default"/>
      </w:r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9306A8C"/>
    <w:multiLevelType w:val="hybridMultilevel"/>
    <w:tmpl w:val="69EC034C"/>
    <w:lvl w:ilvl="0" w:tplc="AD76332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7B862803"/>
    <w:multiLevelType w:val="hybridMultilevel"/>
    <w:tmpl w:val="9D80BF4E"/>
    <w:lvl w:ilvl="0" w:tplc="AD3C529E">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B8E56B8"/>
    <w:multiLevelType w:val="hybridMultilevel"/>
    <w:tmpl w:val="4A1A326A"/>
    <w:lvl w:ilvl="0" w:tplc="08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F9E1981"/>
    <w:multiLevelType w:val="hybridMultilevel"/>
    <w:tmpl w:val="29B461E8"/>
    <w:lvl w:ilvl="0" w:tplc="7D5EE5F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2"/>
  </w:num>
  <w:num w:numId="2">
    <w:abstractNumId w:val="22"/>
  </w:num>
  <w:num w:numId="3">
    <w:abstractNumId w:val="11"/>
  </w:num>
  <w:num w:numId="4">
    <w:abstractNumId w:val="25"/>
  </w:num>
  <w:num w:numId="5">
    <w:abstractNumId w:val="21"/>
  </w:num>
  <w:num w:numId="6">
    <w:abstractNumId w:val="0"/>
  </w:num>
  <w:num w:numId="7">
    <w:abstractNumId w:val="8"/>
  </w:num>
  <w:num w:numId="8">
    <w:abstractNumId w:val="15"/>
  </w:num>
  <w:num w:numId="9">
    <w:abstractNumId w:val="26"/>
  </w:num>
  <w:num w:numId="10">
    <w:abstractNumId w:val="1"/>
  </w:num>
  <w:num w:numId="11">
    <w:abstractNumId w:val="4"/>
  </w:num>
  <w:num w:numId="12">
    <w:abstractNumId w:val="18"/>
  </w:num>
  <w:num w:numId="13">
    <w:abstractNumId w:val="6"/>
  </w:num>
  <w:num w:numId="14">
    <w:abstractNumId w:val="9"/>
  </w:num>
  <w:num w:numId="15">
    <w:abstractNumId w:val="7"/>
  </w:num>
  <w:num w:numId="16">
    <w:abstractNumId w:val="5"/>
  </w:num>
  <w:num w:numId="17">
    <w:abstractNumId w:val="10"/>
  </w:num>
  <w:num w:numId="18">
    <w:abstractNumId w:val="23"/>
  </w:num>
  <w:num w:numId="19">
    <w:abstractNumId w:val="16"/>
  </w:num>
  <w:num w:numId="20">
    <w:abstractNumId w:val="14"/>
  </w:num>
  <w:num w:numId="21">
    <w:abstractNumId w:val="13"/>
  </w:num>
  <w:num w:numId="22">
    <w:abstractNumId w:val="24"/>
  </w:num>
  <w:num w:numId="23">
    <w:abstractNumId w:val="17"/>
  </w:num>
  <w:num w:numId="24">
    <w:abstractNumId w:val="2"/>
  </w:num>
  <w:num w:numId="25">
    <w:abstractNumId w:val="3"/>
  </w:num>
  <w:num w:numId="26">
    <w:abstractNumId w:val="19"/>
  </w:num>
  <w:num w:numId="27">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24F"/>
    <w:rsid w:val="00496921"/>
    <w:rsid w:val="004A479A"/>
    <w:rsid w:val="00D112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5:chartTrackingRefBased/>
  <w15:docId w15:val="{BCF16AAE-70C5-4E9E-A650-FD098ACA1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124F"/>
    <w:pPr>
      <w:spacing w:after="200" w:line="276" w:lineRule="auto"/>
    </w:pPr>
  </w:style>
  <w:style w:type="paragraph" w:styleId="Heading1">
    <w:name w:val="heading 1"/>
    <w:basedOn w:val="Normal"/>
    <w:next w:val="Normal"/>
    <w:link w:val="Heading1Char"/>
    <w:uiPriority w:val="9"/>
    <w:qFormat/>
    <w:rsid w:val="00D1124F"/>
    <w:pPr>
      <w:keepNext/>
      <w:keepLines/>
      <w:spacing w:before="480" w:after="0"/>
      <w:outlineLvl w:val="0"/>
    </w:pPr>
    <w:rPr>
      <w:rFonts w:asciiTheme="majorHAnsi" w:eastAsiaTheme="majorEastAsia" w:hAnsiTheme="majorHAnsi" w:cstheme="majorBidi"/>
      <w:b/>
      <w:bCs/>
      <w:color w:val="BFBFBF" w:themeColor="accent1" w:themeShade="BF"/>
      <w:sz w:val="28"/>
      <w:szCs w:val="28"/>
    </w:rPr>
  </w:style>
  <w:style w:type="paragraph" w:styleId="Heading2">
    <w:name w:val="heading 2"/>
    <w:basedOn w:val="Normal"/>
    <w:next w:val="Normal"/>
    <w:link w:val="Heading2Char"/>
    <w:uiPriority w:val="9"/>
    <w:unhideWhenUsed/>
    <w:qFormat/>
    <w:rsid w:val="00D1124F"/>
    <w:pPr>
      <w:keepNext/>
      <w:keepLines/>
      <w:spacing w:before="200" w:after="0"/>
      <w:outlineLvl w:val="1"/>
    </w:pPr>
    <w:rPr>
      <w:rFonts w:asciiTheme="majorHAnsi" w:eastAsiaTheme="majorEastAsia" w:hAnsiTheme="majorHAnsi" w:cstheme="majorBidi"/>
      <w:b/>
      <w:bCs/>
      <w:color w:val="FFFFFF" w:themeColor="accent1"/>
      <w:sz w:val="26"/>
      <w:szCs w:val="26"/>
    </w:rPr>
  </w:style>
  <w:style w:type="paragraph" w:styleId="Heading3">
    <w:name w:val="heading 3"/>
    <w:basedOn w:val="Normal"/>
    <w:next w:val="Normal"/>
    <w:link w:val="Heading3Char"/>
    <w:uiPriority w:val="9"/>
    <w:unhideWhenUsed/>
    <w:qFormat/>
    <w:rsid w:val="00D1124F"/>
    <w:pPr>
      <w:keepNext/>
      <w:keepLines/>
      <w:spacing w:before="200" w:after="0"/>
      <w:outlineLvl w:val="2"/>
    </w:pPr>
    <w:rPr>
      <w:rFonts w:asciiTheme="majorHAnsi" w:eastAsiaTheme="majorEastAsia" w:hAnsiTheme="majorHAnsi" w:cstheme="majorBidi"/>
      <w:b/>
      <w:bCs/>
      <w:color w:val="FFFFFF"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124F"/>
    <w:rPr>
      <w:rFonts w:asciiTheme="majorHAnsi" w:eastAsiaTheme="majorEastAsia" w:hAnsiTheme="majorHAnsi" w:cstheme="majorBidi"/>
      <w:b/>
      <w:bCs/>
      <w:color w:val="BFBFBF" w:themeColor="accent1" w:themeShade="BF"/>
      <w:sz w:val="28"/>
      <w:szCs w:val="28"/>
    </w:rPr>
  </w:style>
  <w:style w:type="character" w:customStyle="1" w:styleId="Heading2Char">
    <w:name w:val="Heading 2 Char"/>
    <w:basedOn w:val="DefaultParagraphFont"/>
    <w:link w:val="Heading2"/>
    <w:uiPriority w:val="9"/>
    <w:rsid w:val="00D1124F"/>
    <w:rPr>
      <w:rFonts w:asciiTheme="majorHAnsi" w:eastAsiaTheme="majorEastAsia" w:hAnsiTheme="majorHAnsi" w:cstheme="majorBidi"/>
      <w:b/>
      <w:bCs/>
      <w:color w:val="FFFFFF" w:themeColor="accent1"/>
      <w:sz w:val="26"/>
      <w:szCs w:val="26"/>
    </w:rPr>
  </w:style>
  <w:style w:type="character" w:customStyle="1" w:styleId="Heading3Char">
    <w:name w:val="Heading 3 Char"/>
    <w:basedOn w:val="DefaultParagraphFont"/>
    <w:link w:val="Heading3"/>
    <w:uiPriority w:val="9"/>
    <w:rsid w:val="00D1124F"/>
    <w:rPr>
      <w:rFonts w:asciiTheme="majorHAnsi" w:eastAsiaTheme="majorEastAsia" w:hAnsiTheme="majorHAnsi" w:cstheme="majorBidi"/>
      <w:b/>
      <w:bCs/>
      <w:color w:val="FFFFFF" w:themeColor="accent1"/>
    </w:rPr>
  </w:style>
  <w:style w:type="paragraph" w:styleId="BalloonText">
    <w:name w:val="Balloon Text"/>
    <w:basedOn w:val="Normal"/>
    <w:link w:val="BalloonTextChar"/>
    <w:uiPriority w:val="99"/>
    <w:semiHidden/>
    <w:unhideWhenUsed/>
    <w:rsid w:val="00D112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124F"/>
    <w:rPr>
      <w:rFonts w:ascii="Tahoma" w:hAnsi="Tahoma" w:cs="Tahoma"/>
      <w:sz w:val="16"/>
      <w:szCs w:val="16"/>
    </w:rPr>
  </w:style>
  <w:style w:type="table" w:styleId="TableGrid">
    <w:name w:val="Table Grid"/>
    <w:basedOn w:val="TableNormal"/>
    <w:uiPriority w:val="59"/>
    <w:rsid w:val="00D112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D1124F"/>
    <w:pPr>
      <w:outlineLvl w:val="9"/>
    </w:pPr>
    <w:rPr>
      <w:lang w:val="en-US" w:eastAsia="ja-JP"/>
    </w:rPr>
  </w:style>
  <w:style w:type="paragraph" w:styleId="TOC1">
    <w:name w:val="toc 1"/>
    <w:basedOn w:val="Normal"/>
    <w:next w:val="Normal"/>
    <w:autoRedefine/>
    <w:uiPriority w:val="39"/>
    <w:unhideWhenUsed/>
    <w:rsid w:val="00D1124F"/>
    <w:pPr>
      <w:spacing w:after="100"/>
    </w:pPr>
  </w:style>
  <w:style w:type="character" w:styleId="Hyperlink">
    <w:name w:val="Hyperlink"/>
    <w:basedOn w:val="DefaultParagraphFont"/>
    <w:uiPriority w:val="99"/>
    <w:unhideWhenUsed/>
    <w:rsid w:val="00D1124F"/>
    <w:rPr>
      <w:color w:val="0000FF" w:themeColor="hyperlink"/>
      <w:u w:val="single"/>
    </w:rPr>
  </w:style>
  <w:style w:type="paragraph" w:styleId="NoSpacing">
    <w:name w:val="No Spacing"/>
    <w:uiPriority w:val="1"/>
    <w:qFormat/>
    <w:rsid w:val="00D1124F"/>
    <w:pPr>
      <w:spacing w:after="0" w:line="240" w:lineRule="auto"/>
    </w:pPr>
  </w:style>
  <w:style w:type="paragraph" w:styleId="ListParagraph">
    <w:name w:val="List Paragraph"/>
    <w:basedOn w:val="Normal"/>
    <w:link w:val="ListParagraphChar"/>
    <w:uiPriority w:val="34"/>
    <w:qFormat/>
    <w:rsid w:val="00D1124F"/>
    <w:pPr>
      <w:ind w:left="720"/>
      <w:contextualSpacing/>
    </w:pPr>
  </w:style>
  <w:style w:type="character" w:styleId="PlaceholderText">
    <w:name w:val="Placeholder Text"/>
    <w:basedOn w:val="DefaultParagraphFont"/>
    <w:uiPriority w:val="99"/>
    <w:semiHidden/>
    <w:rsid w:val="00D1124F"/>
    <w:rPr>
      <w:color w:val="808080"/>
    </w:rPr>
  </w:style>
  <w:style w:type="paragraph" w:styleId="TOC2">
    <w:name w:val="toc 2"/>
    <w:basedOn w:val="Normal"/>
    <w:next w:val="Normal"/>
    <w:autoRedefine/>
    <w:uiPriority w:val="39"/>
    <w:unhideWhenUsed/>
    <w:rsid w:val="00D1124F"/>
    <w:pPr>
      <w:spacing w:after="100"/>
      <w:ind w:left="220"/>
    </w:pPr>
  </w:style>
  <w:style w:type="character" w:styleId="FootnoteReference">
    <w:name w:val="footnote reference"/>
    <w:uiPriority w:val="99"/>
    <w:rsid w:val="00D1124F"/>
    <w:rPr>
      <w:vertAlign w:val="superscript"/>
    </w:rPr>
  </w:style>
  <w:style w:type="paragraph" w:styleId="FootnoteText">
    <w:name w:val="footnote text"/>
    <w:basedOn w:val="Normal"/>
    <w:link w:val="FootnoteTextChar"/>
    <w:uiPriority w:val="99"/>
    <w:semiHidden/>
    <w:rsid w:val="00D1124F"/>
    <w:pPr>
      <w:spacing w:after="0" w:line="240" w:lineRule="auto"/>
      <w:jc w:val="both"/>
    </w:pPr>
    <w:rPr>
      <w:rFonts w:ascii="Times New Roman" w:eastAsia="Times New Roman" w:hAnsi="Times New Roman" w:cs="Times New Roman"/>
      <w:kern w:val="24"/>
      <w:sz w:val="20"/>
      <w:szCs w:val="20"/>
    </w:rPr>
  </w:style>
  <w:style w:type="character" w:customStyle="1" w:styleId="FootnoteTextChar">
    <w:name w:val="Footnote Text Char"/>
    <w:basedOn w:val="DefaultParagraphFont"/>
    <w:link w:val="FootnoteText"/>
    <w:uiPriority w:val="99"/>
    <w:semiHidden/>
    <w:rsid w:val="00D1124F"/>
    <w:rPr>
      <w:rFonts w:ascii="Times New Roman" w:eastAsia="Times New Roman" w:hAnsi="Times New Roman" w:cs="Times New Roman"/>
      <w:kern w:val="24"/>
      <w:sz w:val="20"/>
      <w:szCs w:val="20"/>
    </w:rPr>
  </w:style>
  <w:style w:type="character" w:styleId="CommentReference">
    <w:name w:val="annotation reference"/>
    <w:uiPriority w:val="99"/>
    <w:semiHidden/>
    <w:unhideWhenUsed/>
    <w:rsid w:val="00D1124F"/>
    <w:rPr>
      <w:sz w:val="16"/>
      <w:szCs w:val="16"/>
    </w:rPr>
  </w:style>
  <w:style w:type="paragraph" w:styleId="CommentText">
    <w:name w:val="annotation text"/>
    <w:basedOn w:val="Normal"/>
    <w:link w:val="CommentTextChar"/>
    <w:uiPriority w:val="99"/>
    <w:semiHidden/>
    <w:unhideWhenUsed/>
    <w:rsid w:val="00D1124F"/>
    <w:pPr>
      <w:spacing w:after="0" w:line="240" w:lineRule="auto"/>
      <w:jc w:val="both"/>
    </w:pPr>
    <w:rPr>
      <w:rFonts w:ascii="Times New Roman" w:eastAsia="Times New Roman" w:hAnsi="Times New Roman" w:cs="Times New Roman"/>
      <w:kern w:val="24"/>
      <w:sz w:val="20"/>
      <w:szCs w:val="20"/>
    </w:rPr>
  </w:style>
  <w:style w:type="character" w:customStyle="1" w:styleId="CommentTextChar">
    <w:name w:val="Comment Text Char"/>
    <w:basedOn w:val="DefaultParagraphFont"/>
    <w:link w:val="CommentText"/>
    <w:uiPriority w:val="99"/>
    <w:semiHidden/>
    <w:rsid w:val="00D1124F"/>
    <w:rPr>
      <w:rFonts w:ascii="Times New Roman" w:eastAsia="Times New Roman" w:hAnsi="Times New Roman" w:cs="Times New Roman"/>
      <w:kern w:val="24"/>
      <w:sz w:val="20"/>
      <w:szCs w:val="20"/>
    </w:rPr>
  </w:style>
  <w:style w:type="paragraph" w:styleId="Header">
    <w:name w:val="header"/>
    <w:basedOn w:val="Normal"/>
    <w:link w:val="HeaderChar"/>
    <w:uiPriority w:val="99"/>
    <w:unhideWhenUsed/>
    <w:rsid w:val="00D1124F"/>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124F"/>
  </w:style>
  <w:style w:type="paragraph" w:styleId="Footer">
    <w:name w:val="footer"/>
    <w:basedOn w:val="Normal"/>
    <w:link w:val="FooterChar"/>
    <w:uiPriority w:val="99"/>
    <w:unhideWhenUsed/>
    <w:rsid w:val="00D1124F"/>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124F"/>
  </w:style>
  <w:style w:type="numbering" w:customStyle="1" w:styleId="NoList1">
    <w:name w:val="No List1"/>
    <w:next w:val="NoList"/>
    <w:uiPriority w:val="99"/>
    <w:semiHidden/>
    <w:unhideWhenUsed/>
    <w:rsid w:val="00D1124F"/>
  </w:style>
  <w:style w:type="character" w:styleId="PageNumber">
    <w:name w:val="page number"/>
    <w:basedOn w:val="DefaultParagraphFont"/>
    <w:rsid w:val="00D1124F"/>
  </w:style>
  <w:style w:type="table" w:customStyle="1" w:styleId="TableGrid1">
    <w:name w:val="Table Grid1"/>
    <w:basedOn w:val="TableNormal"/>
    <w:next w:val="TableGrid"/>
    <w:rsid w:val="00D1124F"/>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1124F"/>
    <w:pPr>
      <w:spacing w:after="0" w:line="240" w:lineRule="auto"/>
    </w:pPr>
    <w:rPr>
      <w:rFonts w:ascii="Times New Roman" w:eastAsia="Times New Roman" w:hAnsi="Times New Roman" w:cs="Times New Roman"/>
      <w:kern w:val="24"/>
      <w:sz w:val="24"/>
      <w:szCs w:val="20"/>
    </w:rPr>
  </w:style>
  <w:style w:type="paragraph" w:styleId="CommentSubject">
    <w:name w:val="annotation subject"/>
    <w:basedOn w:val="CommentText"/>
    <w:next w:val="CommentText"/>
    <w:link w:val="CommentSubjectChar"/>
    <w:uiPriority w:val="99"/>
    <w:semiHidden/>
    <w:unhideWhenUsed/>
    <w:rsid w:val="00D1124F"/>
    <w:rPr>
      <w:b/>
      <w:bCs/>
    </w:rPr>
  </w:style>
  <w:style w:type="character" w:customStyle="1" w:styleId="CommentSubjectChar">
    <w:name w:val="Comment Subject Char"/>
    <w:basedOn w:val="CommentTextChar"/>
    <w:link w:val="CommentSubject"/>
    <w:uiPriority w:val="99"/>
    <w:semiHidden/>
    <w:rsid w:val="00D1124F"/>
    <w:rPr>
      <w:rFonts w:ascii="Times New Roman" w:eastAsia="Times New Roman" w:hAnsi="Times New Roman" w:cs="Times New Roman"/>
      <w:b/>
      <w:bCs/>
      <w:kern w:val="24"/>
      <w:sz w:val="20"/>
      <w:szCs w:val="20"/>
    </w:rPr>
  </w:style>
  <w:style w:type="character" w:customStyle="1" w:styleId="ListParagraphChar">
    <w:name w:val="List Paragraph Char"/>
    <w:link w:val="ListParagraph"/>
    <w:uiPriority w:val="34"/>
    <w:locked/>
    <w:rsid w:val="00D1124F"/>
  </w:style>
  <w:style w:type="paragraph" w:styleId="Title">
    <w:name w:val="Title"/>
    <w:basedOn w:val="Normal"/>
    <w:next w:val="Normal"/>
    <w:link w:val="TitleChar"/>
    <w:uiPriority w:val="10"/>
    <w:qFormat/>
    <w:rsid w:val="00D1124F"/>
    <w:pPr>
      <w:spacing w:after="0" w:line="216" w:lineRule="auto"/>
      <w:contextualSpacing/>
    </w:pPr>
    <w:rPr>
      <w:rFonts w:asciiTheme="majorHAnsi" w:eastAsiaTheme="majorEastAsia" w:hAnsiTheme="majorHAnsi" w:cstheme="majorBidi"/>
      <w:color w:val="404040" w:themeColor="text1" w:themeTint="BF"/>
      <w:spacing w:val="-10"/>
      <w:kern w:val="28"/>
      <w:sz w:val="56"/>
      <w:szCs w:val="56"/>
      <w:lang w:val="en-US"/>
    </w:rPr>
  </w:style>
  <w:style w:type="character" w:customStyle="1" w:styleId="TitleChar">
    <w:name w:val="Title Char"/>
    <w:basedOn w:val="DefaultParagraphFont"/>
    <w:link w:val="Title"/>
    <w:uiPriority w:val="10"/>
    <w:rsid w:val="00D1124F"/>
    <w:rPr>
      <w:rFonts w:asciiTheme="majorHAnsi" w:eastAsiaTheme="majorEastAsia" w:hAnsiTheme="majorHAnsi" w:cstheme="majorBidi"/>
      <w:color w:val="404040" w:themeColor="text1" w:themeTint="BF"/>
      <w:spacing w:val="-10"/>
      <w:kern w:val="28"/>
      <w:sz w:val="56"/>
      <w:szCs w:val="56"/>
      <w:lang w:val="en-US"/>
    </w:rPr>
  </w:style>
  <w:style w:type="paragraph" w:styleId="Subtitle">
    <w:name w:val="Subtitle"/>
    <w:basedOn w:val="Normal"/>
    <w:next w:val="Normal"/>
    <w:link w:val="SubtitleChar"/>
    <w:uiPriority w:val="11"/>
    <w:qFormat/>
    <w:rsid w:val="00D1124F"/>
    <w:pPr>
      <w:numPr>
        <w:ilvl w:val="1"/>
      </w:numPr>
      <w:spacing w:after="160" w:line="259" w:lineRule="auto"/>
    </w:pPr>
    <w:rPr>
      <w:rFonts w:eastAsiaTheme="minorEastAsia" w:cs="Times New Roman"/>
      <w:color w:val="5A5A5A" w:themeColor="text1" w:themeTint="A5"/>
      <w:spacing w:val="15"/>
      <w:lang w:val="en-US"/>
    </w:rPr>
  </w:style>
  <w:style w:type="character" w:customStyle="1" w:styleId="SubtitleChar">
    <w:name w:val="Subtitle Char"/>
    <w:basedOn w:val="DefaultParagraphFont"/>
    <w:link w:val="Subtitle"/>
    <w:uiPriority w:val="11"/>
    <w:rsid w:val="00D1124F"/>
    <w:rPr>
      <w:rFonts w:eastAsiaTheme="minorEastAsia" w:cs="Times New Roman"/>
      <w:color w:val="5A5A5A" w:themeColor="text1" w:themeTint="A5"/>
      <w:spacing w:val="15"/>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Custom 5">
      <a:dk1>
        <a:sysClr val="windowText" lastClr="000000"/>
      </a:dk1>
      <a:lt1>
        <a:srgbClr val="000000"/>
      </a:lt1>
      <a:dk2>
        <a:srgbClr val="FFFFFF"/>
      </a:dk2>
      <a:lt2>
        <a:srgbClr val="FFFFFF"/>
      </a:lt2>
      <a:accent1>
        <a:srgbClr val="FFFFFF"/>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DEC702-9452-4849-A585-934EE6F30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24</Pages>
  <Words>6962</Words>
  <Characters>39685</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 – AIF offering document</dc:title>
  <dc:subject>Date of Issue – 27.12.2016</dc:subject>
  <dc:creator>Isabelle Agius</dc:creator>
  <cp:keywords/>
  <dc:description/>
  <cp:lastModifiedBy>Isabelle Agius</cp:lastModifiedBy>
  <cp:revision>1</cp:revision>
  <dcterms:created xsi:type="dcterms:W3CDTF">2016-12-27T12:19:00Z</dcterms:created>
  <dcterms:modified xsi:type="dcterms:W3CDTF">2016-12-27T13:19:00Z</dcterms:modified>
</cp:coreProperties>
</file>